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E87DE" w14:textId="77777777" w:rsidR="001702AE" w:rsidRDefault="001702AE">
      <w:pPr>
        <w:pStyle w:val="Title"/>
        <w:spacing w:line="196" w:lineRule="auto"/>
        <w:rPr>
          <w:rFonts w:ascii="Avenir Next Demi Bold" w:hAnsi="Avenir Next Demi Bold"/>
          <w:color w:val="FFFFFF"/>
          <w:spacing w:val="-14"/>
        </w:rPr>
      </w:pPr>
      <w:bookmarkStart w:id="0" w:name="_Hlk130811348"/>
      <w:bookmarkEnd w:id="0"/>
      <w:r w:rsidRPr="00C30360">
        <w:rPr>
          <w:rFonts w:ascii="Avenir Next Demi Bold" w:hAnsi="Avenir Next Demi Bold"/>
          <w:noProof/>
        </w:rPr>
        <w:drawing>
          <wp:anchor distT="0" distB="0" distL="0" distR="0" simplePos="0" relativeHeight="251659264" behindDoc="1" locked="0" layoutInCell="1" allowOverlap="1" wp14:anchorId="7562D646" wp14:editId="6BC3431F">
            <wp:simplePos x="0" y="0"/>
            <wp:positionH relativeFrom="page">
              <wp:posOffset>0</wp:posOffset>
            </wp:positionH>
            <wp:positionV relativeFrom="page">
              <wp:posOffset>3859</wp:posOffset>
            </wp:positionV>
            <wp:extent cx="7559036" cy="1068428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pic:spPr>
                </pic:pic>
              </a:graphicData>
            </a:graphic>
            <wp14:sizeRelV relativeFrom="margin">
              <wp14:pctHeight>0</wp14:pctHeight>
            </wp14:sizeRelV>
          </wp:anchor>
        </w:drawing>
      </w:r>
      <w:r>
        <w:rPr>
          <w:rFonts w:ascii="Avenir Next Demi Bold" w:hAnsi="Avenir Next Demi Bold"/>
          <w:color w:val="FFFFFF"/>
          <w:spacing w:val="-14"/>
        </w:rPr>
        <w:t>Buy Now, Struggle Later?</w:t>
      </w:r>
    </w:p>
    <w:p w14:paraId="181F2E96" w14:textId="77777777" w:rsidR="001702AE" w:rsidRPr="00C30360" w:rsidRDefault="001702AE">
      <w:pPr>
        <w:pStyle w:val="Title"/>
        <w:spacing w:line="196" w:lineRule="auto"/>
        <w:rPr>
          <w:rFonts w:ascii="Avenir Next" w:hAnsi="Avenir Next"/>
          <w:b w:val="0"/>
          <w:bCs w:val="0"/>
        </w:rPr>
      </w:pPr>
      <w:r w:rsidRPr="007C1169">
        <w:rPr>
          <w:rFonts w:ascii="Avenir Next" w:hAnsi="Avenir Next"/>
          <w:b w:val="0"/>
          <w:bCs w:val="0"/>
          <w:color w:val="FFFFFF"/>
          <w:spacing w:val="-2"/>
          <w:sz w:val="44"/>
        </w:rPr>
        <w:t xml:space="preserve">Exploring the impacts of Buy Now Pay Later on Anglicare Tasmania’s </w:t>
      </w:r>
      <w:r>
        <w:rPr>
          <w:rFonts w:ascii="Avenir Next" w:hAnsi="Avenir Next"/>
          <w:b w:val="0"/>
          <w:bCs w:val="0"/>
          <w:color w:val="FFFFFF"/>
          <w:spacing w:val="-2"/>
          <w:sz w:val="44"/>
        </w:rPr>
        <w:t>f</w:t>
      </w:r>
      <w:r w:rsidRPr="007C1169">
        <w:rPr>
          <w:rFonts w:ascii="Avenir Next" w:hAnsi="Avenir Next"/>
          <w:b w:val="0"/>
          <w:bCs w:val="0"/>
          <w:color w:val="FFFFFF"/>
          <w:spacing w:val="-2"/>
          <w:sz w:val="44"/>
        </w:rPr>
        <w:t xml:space="preserve">inancial </w:t>
      </w:r>
      <w:r>
        <w:rPr>
          <w:rFonts w:ascii="Avenir Next" w:hAnsi="Avenir Next"/>
          <w:b w:val="0"/>
          <w:bCs w:val="0"/>
          <w:color w:val="FFFFFF"/>
          <w:spacing w:val="-2"/>
          <w:sz w:val="44"/>
        </w:rPr>
        <w:t>c</w:t>
      </w:r>
      <w:r w:rsidRPr="007C1169">
        <w:rPr>
          <w:rFonts w:ascii="Avenir Next" w:hAnsi="Avenir Next"/>
          <w:b w:val="0"/>
          <w:bCs w:val="0"/>
          <w:color w:val="FFFFFF"/>
          <w:spacing w:val="-2"/>
          <w:sz w:val="44"/>
        </w:rPr>
        <w:t>ounselling clients</w:t>
      </w:r>
    </w:p>
    <w:p w14:paraId="7F4AE949" w14:textId="77777777" w:rsidR="001702AE" w:rsidRDefault="001702AE">
      <w:pPr>
        <w:pStyle w:val="BodyText"/>
        <w:rPr>
          <w:sz w:val="66"/>
        </w:rPr>
      </w:pPr>
      <w:r>
        <w:rPr>
          <w:noProof/>
          <w:sz w:val="66"/>
        </w:rPr>
        <mc:AlternateContent>
          <mc:Choice Requires="wps">
            <w:drawing>
              <wp:anchor distT="0" distB="0" distL="114300" distR="114300" simplePos="0" relativeHeight="251660288" behindDoc="0" locked="0" layoutInCell="1" allowOverlap="1" wp14:anchorId="3CF2FAAB" wp14:editId="50873615">
                <wp:simplePos x="0" y="0"/>
                <wp:positionH relativeFrom="column">
                  <wp:posOffset>368300</wp:posOffset>
                </wp:positionH>
                <wp:positionV relativeFrom="paragraph">
                  <wp:posOffset>7036435</wp:posOffset>
                </wp:positionV>
                <wp:extent cx="1828800" cy="130680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14:paraId="71FA47CE" w14:textId="77777777" w:rsidR="006B54C7" w:rsidRPr="00BF69AF" w:rsidRDefault="006B54C7">
                            <w:pPr>
                              <w:rPr>
                                <w:rFonts w:ascii="Avenir Next Demi Bold" w:hAnsi="Avenir Next Demi Bold"/>
                                <w:b/>
                                <w:bCs/>
                                <w:color w:val="FFFFFF" w:themeColor="background1"/>
                              </w:rPr>
                            </w:pPr>
                            <w:r w:rsidRPr="00BF69AF">
                              <w:rPr>
                                <w:rFonts w:ascii="Avenir Next Demi Bold" w:hAnsi="Avenir Next Demi Bold"/>
                                <w:b/>
                                <w:bCs/>
                                <w:color w:val="FFFFFF" w:themeColor="background1"/>
                              </w:rPr>
                              <w:t>WORKING FOR</w:t>
                            </w:r>
                            <w:r w:rsidRPr="00BF69AF">
                              <w:rPr>
                                <w:rFonts w:ascii="Avenir Next Demi Bold" w:hAnsi="Avenir Next Demi Bold"/>
                                <w:b/>
                                <w:bCs/>
                                <w:color w:val="FFFFFF" w:themeColor="background1"/>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F2FAAB" id="_x0000_t202" coordsize="21600,21600" o:spt="202" path="m,l,21600r21600,l21600,xe">
                <v:stroke joinstyle="miter"/>
                <v:path gradientshapeok="t" o:connecttype="rect"/>
              </v:shapetype>
              <v:shape id="Text Box 7" o:spid="_x0000_s1026" type="#_x0000_t202" style="position:absolute;margin-left:29pt;margin-top:554.05pt;width:2in;height:102.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" filled="f" stroked="f" strokeweight=".5pt">
                <v:textbox inset="0,0,0,0">
                  <w:txbxContent>
                    <w:p w14:paraId="71FA47CE" w14:textId="77777777" w:rsidR="006B54C7" w:rsidRPr="00BF69AF" w:rsidRDefault="006B54C7">
                      <w:pPr>
                        <w:rPr>
                          <w:rFonts w:ascii="Avenir Next Demi Bold" w:hAnsi="Avenir Next Demi Bold"/>
                          <w:b/>
                          <w:bCs/>
                          <w:color w:val="FFFFFF" w:themeColor="background1"/>
                        </w:rPr>
                      </w:pPr>
                      <w:r w:rsidRPr="00BF69AF">
                        <w:rPr>
                          <w:rFonts w:ascii="Avenir Next Demi Bold" w:hAnsi="Avenir Next Demi Bold"/>
                          <w:b/>
                          <w:bCs/>
                          <w:color w:val="FFFFFF" w:themeColor="background1"/>
                        </w:rPr>
                        <w:t>WORKING FOR</w:t>
                      </w:r>
                      <w:r w:rsidRPr="00BF69AF">
                        <w:rPr>
                          <w:rFonts w:ascii="Avenir Next Demi Bold" w:hAnsi="Avenir Next Demi Bold"/>
                          <w:b/>
                          <w:bCs/>
                          <w:color w:val="FFFFFF" w:themeColor="background1"/>
                        </w:rPr>
                        <w:br/>
                        <w:t>A JUST TASMANIA</w:t>
                      </w:r>
                    </w:p>
                  </w:txbxContent>
                </v:textbox>
              </v:shape>
            </w:pict>
          </mc:Fallback>
        </mc:AlternateContent>
      </w:r>
    </w:p>
    <w:p w14:paraId="77E48995" w14:textId="77777777" w:rsidR="001702AE" w:rsidRDefault="001702AE">
      <w:pPr>
        <w:spacing w:line="408" w:lineRule="exact"/>
        <w:rPr>
          <w:sz w:val="32"/>
        </w:rPr>
        <w:sectPr w:rsidR="001702AE" w:rsidSect="006B54C7">
          <w:footerReference w:type="even" r:id="rId8"/>
          <w:footerReference w:type="default" r:id="rId9"/>
          <w:pgSz w:w="11906" w:h="16838"/>
          <w:pgMar w:top="1440" w:right="1440" w:bottom="1440" w:left="1440" w:header="708" w:footer="708" w:gutter="0"/>
          <w:cols w:space="708"/>
          <w:docGrid w:linePitch="360"/>
        </w:sectPr>
      </w:pPr>
    </w:p>
    <w:p w14:paraId="157F00E8" w14:textId="77777777" w:rsidR="001702AE" w:rsidRDefault="001702AE" w:rsidP="006B54C7">
      <w:pPr>
        <w:spacing w:after="240"/>
        <w:jc w:val="center"/>
        <w:rPr>
          <w:b/>
          <w:color w:val="1598CB"/>
          <w:sz w:val="36"/>
        </w:rPr>
      </w:pPr>
    </w:p>
    <w:p w14:paraId="44528DC9" w14:textId="77777777" w:rsidR="001702AE" w:rsidRPr="00B9031D" w:rsidRDefault="001702AE" w:rsidP="006B54C7">
      <w:pPr>
        <w:pStyle w:val="Title"/>
      </w:pPr>
      <w:r w:rsidRPr="00B9031D">
        <w:t>BUY NOW</w:t>
      </w:r>
      <w:r>
        <w:t>,</w:t>
      </w:r>
      <w:r w:rsidRPr="00B9031D">
        <w:t xml:space="preserve"> STRUGGLE LATER?</w:t>
      </w:r>
    </w:p>
    <w:p w14:paraId="2E163921" w14:textId="77777777" w:rsidR="001702AE" w:rsidRDefault="001702AE" w:rsidP="006B54C7">
      <w:pPr>
        <w:spacing w:after="240"/>
        <w:jc w:val="center"/>
        <w:rPr>
          <w:b/>
          <w:color w:val="1598CB"/>
          <w:sz w:val="38"/>
        </w:rPr>
      </w:pPr>
    </w:p>
    <w:p w14:paraId="259A6A0D" w14:textId="77777777" w:rsidR="001702AE" w:rsidRPr="00B9031D" w:rsidRDefault="001702AE" w:rsidP="006B54C7">
      <w:pPr>
        <w:spacing w:after="240"/>
        <w:jc w:val="center"/>
        <w:rPr>
          <w:b/>
          <w:color w:val="1598CB"/>
          <w:sz w:val="38"/>
        </w:rPr>
      </w:pPr>
      <w:r w:rsidRPr="00B9031D">
        <w:rPr>
          <w:b/>
          <w:color w:val="1598CB"/>
          <w:sz w:val="38"/>
        </w:rPr>
        <w:t xml:space="preserve">Exploring the impacts of Buy Now Pay Later on Anglicare Tasmania’s </w:t>
      </w:r>
      <w:r>
        <w:rPr>
          <w:b/>
          <w:color w:val="1598CB"/>
          <w:sz w:val="38"/>
        </w:rPr>
        <w:t>f</w:t>
      </w:r>
      <w:r w:rsidRPr="00B9031D">
        <w:rPr>
          <w:b/>
          <w:color w:val="1598CB"/>
          <w:sz w:val="38"/>
        </w:rPr>
        <w:t xml:space="preserve">inancial </w:t>
      </w:r>
      <w:r>
        <w:rPr>
          <w:b/>
          <w:color w:val="1598CB"/>
          <w:sz w:val="38"/>
        </w:rPr>
        <w:t>c</w:t>
      </w:r>
      <w:r w:rsidRPr="00B9031D">
        <w:rPr>
          <w:b/>
          <w:color w:val="1598CB"/>
          <w:sz w:val="38"/>
        </w:rPr>
        <w:t>ounselling clients</w:t>
      </w:r>
    </w:p>
    <w:p w14:paraId="2FE33E01" w14:textId="77777777" w:rsidR="001702AE" w:rsidRDefault="001702AE" w:rsidP="006B54C7">
      <w:pPr>
        <w:spacing w:after="240"/>
        <w:jc w:val="center"/>
        <w:rPr>
          <w:b/>
          <w:sz w:val="36"/>
        </w:rPr>
      </w:pPr>
    </w:p>
    <w:p w14:paraId="3BCE7891" w14:textId="77777777" w:rsidR="001702AE" w:rsidRDefault="001702AE" w:rsidP="006B54C7">
      <w:pPr>
        <w:spacing w:after="240"/>
        <w:jc w:val="center"/>
        <w:rPr>
          <w:b/>
          <w:sz w:val="36"/>
        </w:rPr>
      </w:pPr>
    </w:p>
    <w:p w14:paraId="7AF42219" w14:textId="77777777" w:rsidR="001702AE" w:rsidRDefault="001702AE" w:rsidP="006B54C7">
      <w:pPr>
        <w:spacing w:after="240"/>
        <w:jc w:val="center"/>
        <w:rPr>
          <w:b/>
          <w:sz w:val="36"/>
        </w:rPr>
      </w:pPr>
    </w:p>
    <w:p w14:paraId="02CD079B" w14:textId="77777777" w:rsidR="001702AE" w:rsidRDefault="001702AE" w:rsidP="006B54C7">
      <w:pPr>
        <w:spacing w:after="240"/>
        <w:rPr>
          <w:rFonts w:cstheme="minorHAnsi"/>
          <w:b/>
          <w:color w:val="000000" w:themeColor="text1"/>
          <w:sz w:val="28"/>
          <w:szCs w:val="24"/>
          <w:shd w:val="clear" w:color="auto" w:fill="FFFFFF"/>
        </w:rPr>
      </w:pPr>
      <w:r w:rsidRPr="00B9031D">
        <w:rPr>
          <w:b/>
          <w:noProof/>
          <w:color w:val="000000" w:themeColor="text1"/>
          <w:sz w:val="36"/>
        </w:rPr>
        <mc:AlternateContent>
          <mc:Choice Requires="wps">
            <w:drawing>
              <wp:anchor distT="0" distB="0" distL="114300" distR="114300" simplePos="0" relativeHeight="251663360" behindDoc="0" locked="0" layoutInCell="1" allowOverlap="1" wp14:anchorId="6E3293CD" wp14:editId="255D06F3">
                <wp:simplePos x="0" y="0"/>
                <wp:positionH relativeFrom="column">
                  <wp:posOffset>889000</wp:posOffset>
                </wp:positionH>
                <wp:positionV relativeFrom="paragraph">
                  <wp:posOffset>370205</wp:posOffset>
                </wp:positionV>
                <wp:extent cx="5454650" cy="6350"/>
                <wp:effectExtent l="0" t="0" r="31750" b="31750"/>
                <wp:wrapNone/>
                <wp:docPr id="3" name="Straight Connector 3"/>
                <wp:cNvGraphicFramePr/>
                <a:graphic xmlns:a="http://schemas.openxmlformats.org/drawingml/2006/main">
                  <a:graphicData uri="http://schemas.microsoft.com/office/word/2010/wordprocessingShape">
                    <wps:wsp>
                      <wps:cNvCnPr/>
                      <wps:spPr>
                        <a:xfrm>
                          <a:off x="0" y="0"/>
                          <a:ext cx="5454650" cy="63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B8C49B"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0pt,29.15pt" to="499.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" strokecolor="black [3200]" strokeweight=".25pt">
                <v:stroke joinstyle="miter"/>
              </v:line>
            </w:pict>
          </mc:Fallback>
        </mc:AlternateContent>
      </w:r>
      <w:r w:rsidRPr="00B9031D">
        <w:rPr>
          <w:b/>
          <w:noProof/>
          <w:sz w:val="36"/>
        </w:rPr>
        <w:drawing>
          <wp:anchor distT="0" distB="0" distL="114300" distR="114300" simplePos="0" relativeHeight="251664384" behindDoc="1" locked="0" layoutInCell="1" allowOverlap="1" wp14:anchorId="7CE06C45" wp14:editId="48A684A8">
            <wp:simplePos x="0" y="0"/>
            <wp:positionH relativeFrom="column">
              <wp:posOffset>0</wp:posOffset>
            </wp:positionH>
            <wp:positionV relativeFrom="paragraph">
              <wp:posOffset>1905</wp:posOffset>
            </wp:positionV>
            <wp:extent cx="814705" cy="80645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14705" cy="806450"/>
                    </a:xfrm>
                    <a:prstGeom prst="rect">
                      <a:avLst/>
                    </a:prstGeom>
                  </pic:spPr>
                </pic:pic>
              </a:graphicData>
            </a:graphic>
            <wp14:sizeRelH relativeFrom="page">
              <wp14:pctWidth>0</wp14:pctWidth>
            </wp14:sizeRelH>
            <wp14:sizeRelV relativeFrom="page">
              <wp14:pctHeight>0</wp14:pctHeight>
            </wp14:sizeRelV>
          </wp:anchor>
        </w:drawing>
      </w:r>
    </w:p>
    <w:p w14:paraId="0EA975CA" w14:textId="77777777" w:rsidR="001702AE" w:rsidRDefault="001702AE" w:rsidP="006B54C7">
      <w:pPr>
        <w:spacing w:after="240"/>
        <w:rPr>
          <w:rFonts w:cstheme="minorHAnsi"/>
          <w:b/>
          <w:color w:val="000000" w:themeColor="text1"/>
          <w:sz w:val="28"/>
          <w:szCs w:val="24"/>
          <w:shd w:val="clear" w:color="auto" w:fill="FFFFFF"/>
        </w:rPr>
      </w:pPr>
    </w:p>
    <w:p w14:paraId="16188DDF" w14:textId="77777777" w:rsidR="001702AE" w:rsidRPr="00B9031D" w:rsidRDefault="001702AE" w:rsidP="006B54C7">
      <w:pPr>
        <w:spacing w:after="240"/>
        <w:rPr>
          <w:rFonts w:cstheme="minorHAnsi"/>
          <w:b/>
          <w:color w:val="000000" w:themeColor="text1"/>
          <w:sz w:val="28"/>
          <w:szCs w:val="24"/>
          <w:shd w:val="clear" w:color="auto" w:fill="FFFFFF"/>
        </w:rPr>
      </w:pPr>
      <w:r w:rsidRPr="00B9031D">
        <w:rPr>
          <w:b/>
          <w:noProof/>
          <w:sz w:val="36"/>
        </w:rPr>
        <w:drawing>
          <wp:anchor distT="0" distB="0" distL="114300" distR="114300" simplePos="0" relativeHeight="251665408" behindDoc="1" locked="0" layoutInCell="1" allowOverlap="1" wp14:anchorId="373C08F5" wp14:editId="15307660">
            <wp:simplePos x="0" y="0"/>
            <wp:positionH relativeFrom="column">
              <wp:posOffset>5588000</wp:posOffset>
            </wp:positionH>
            <wp:positionV relativeFrom="paragraph">
              <wp:posOffset>546100</wp:posOffset>
            </wp:positionV>
            <wp:extent cx="814705" cy="806450"/>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rot="10800000">
                      <a:off x="0" y="0"/>
                      <a:ext cx="814705" cy="806450"/>
                    </a:xfrm>
                    <a:prstGeom prst="rect">
                      <a:avLst/>
                    </a:prstGeom>
                  </pic:spPr>
                </pic:pic>
              </a:graphicData>
            </a:graphic>
            <wp14:sizeRelH relativeFrom="page">
              <wp14:pctWidth>0</wp14:pctWidth>
            </wp14:sizeRelH>
            <wp14:sizeRelV relativeFrom="page">
              <wp14:pctHeight>0</wp14:pctHeight>
            </wp14:sizeRelV>
          </wp:anchor>
        </w:drawing>
      </w:r>
      <w:r w:rsidRPr="00B9031D">
        <w:rPr>
          <w:rFonts w:cstheme="minorHAnsi"/>
          <w:b/>
          <w:color w:val="000000" w:themeColor="text1"/>
          <w:sz w:val="28"/>
          <w:szCs w:val="24"/>
          <w:shd w:val="clear" w:color="auto" w:fill="FFFFFF"/>
        </w:rPr>
        <w:t>No one could have predicted the perfect storm that would allow BNPL to take hold as it has in Australia. It appeals to the most vulnerable in society and is often their only option for credit. … And if it</w:t>
      </w:r>
      <w:r>
        <w:rPr>
          <w:rFonts w:cstheme="minorHAnsi"/>
          <w:b/>
          <w:color w:val="000000" w:themeColor="text1"/>
          <w:sz w:val="28"/>
          <w:szCs w:val="24"/>
          <w:shd w:val="clear" w:color="auto" w:fill="FFFFFF"/>
        </w:rPr>
        <w:t>’</w:t>
      </w:r>
      <w:r w:rsidRPr="00B9031D">
        <w:rPr>
          <w:rFonts w:cstheme="minorHAnsi"/>
          <w:b/>
          <w:color w:val="000000" w:themeColor="text1"/>
          <w:sz w:val="28"/>
          <w:szCs w:val="24"/>
          <w:shd w:val="clear" w:color="auto" w:fill="FFFFFF"/>
        </w:rPr>
        <w:t>s credit, then it needs to be a regulated product</w:t>
      </w:r>
      <w:r>
        <w:rPr>
          <w:rFonts w:cstheme="minorHAnsi"/>
          <w:b/>
          <w:color w:val="000000" w:themeColor="text1"/>
          <w:sz w:val="28"/>
          <w:szCs w:val="24"/>
          <w:shd w:val="clear" w:color="auto" w:fill="FFFFFF"/>
        </w:rPr>
        <w:t>.</w:t>
      </w:r>
    </w:p>
    <w:p w14:paraId="47075311" w14:textId="77777777" w:rsidR="001702AE" w:rsidRDefault="001702AE" w:rsidP="005D72F8">
      <w:pPr>
        <w:pStyle w:val="Bullets"/>
        <w:numPr>
          <w:ilvl w:val="0"/>
          <w:numId w:val="0"/>
        </w:numPr>
        <w:ind w:left="284"/>
      </w:pPr>
      <w:r w:rsidRPr="00B9031D">
        <w:rPr>
          <w:noProof/>
        </w:rPr>
        <mc:AlternateContent>
          <mc:Choice Requires="wps">
            <w:drawing>
              <wp:anchor distT="0" distB="0" distL="114300" distR="114300" simplePos="0" relativeHeight="251666432" behindDoc="0" locked="0" layoutInCell="1" allowOverlap="1" wp14:anchorId="7F39EC68" wp14:editId="6C2F4013">
                <wp:simplePos x="0" y="0"/>
                <wp:positionH relativeFrom="column">
                  <wp:posOffset>0</wp:posOffset>
                </wp:positionH>
                <wp:positionV relativeFrom="paragraph">
                  <wp:posOffset>177165</wp:posOffset>
                </wp:positionV>
                <wp:extent cx="5454650" cy="6350"/>
                <wp:effectExtent l="0" t="0" r="31750" b="31750"/>
                <wp:wrapNone/>
                <wp:docPr id="9" name="Straight Connector 9"/>
                <wp:cNvGraphicFramePr/>
                <a:graphic xmlns:a="http://schemas.openxmlformats.org/drawingml/2006/main">
                  <a:graphicData uri="http://schemas.microsoft.com/office/word/2010/wordprocessingShape">
                    <wps:wsp>
                      <wps:cNvCnPr/>
                      <wps:spPr>
                        <a:xfrm>
                          <a:off x="0" y="0"/>
                          <a:ext cx="5454650" cy="63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C8A74"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3.95pt" to="42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" strokecolor="black [3200]" strokeweight=".25pt">
                <v:stroke joinstyle="miter"/>
              </v:line>
            </w:pict>
          </mc:Fallback>
        </mc:AlternateContent>
      </w:r>
    </w:p>
    <w:p w14:paraId="7F0A8FB5" w14:textId="77777777" w:rsidR="001702AE" w:rsidRPr="0050512D" w:rsidRDefault="001702AE" w:rsidP="006B54C7">
      <w:pPr>
        <w:rPr>
          <w:i/>
          <w:color w:val="000000" w:themeColor="text1"/>
        </w:rPr>
      </w:pPr>
      <w:r w:rsidRPr="0050512D">
        <w:rPr>
          <w:i/>
          <w:color w:val="000000" w:themeColor="text1"/>
        </w:rPr>
        <w:t>Financial Counsellor, Anglicare Tasmania</w:t>
      </w:r>
    </w:p>
    <w:p w14:paraId="53381F78" w14:textId="77777777" w:rsidR="001702AE" w:rsidRDefault="001702AE" w:rsidP="006B54C7">
      <w:pPr>
        <w:rPr>
          <w:color w:val="000000" w:themeColor="text1"/>
          <w:sz w:val="26"/>
        </w:rPr>
      </w:pPr>
    </w:p>
    <w:p w14:paraId="2B1C1D3B" w14:textId="77777777" w:rsidR="001702AE" w:rsidRDefault="001702AE" w:rsidP="006B54C7">
      <w:pPr>
        <w:rPr>
          <w:color w:val="000000" w:themeColor="text1"/>
          <w:sz w:val="26"/>
        </w:rPr>
      </w:pPr>
    </w:p>
    <w:p w14:paraId="709A23B7" w14:textId="77777777" w:rsidR="001702AE" w:rsidRDefault="001702AE" w:rsidP="006B54C7">
      <w:pPr>
        <w:rPr>
          <w:color w:val="000000" w:themeColor="text1"/>
          <w:sz w:val="26"/>
        </w:rPr>
      </w:pPr>
    </w:p>
    <w:p w14:paraId="64592807" w14:textId="77777777" w:rsidR="001702AE" w:rsidRDefault="001702AE" w:rsidP="006B54C7">
      <w:pPr>
        <w:rPr>
          <w:color w:val="000000" w:themeColor="text1"/>
          <w:sz w:val="26"/>
        </w:rPr>
      </w:pPr>
    </w:p>
    <w:p w14:paraId="4B617AD2" w14:textId="77777777" w:rsidR="001702AE" w:rsidRPr="00B9031D" w:rsidRDefault="001702AE" w:rsidP="006B54C7">
      <w:pPr>
        <w:rPr>
          <w:color w:val="000000" w:themeColor="text1"/>
          <w:sz w:val="26"/>
        </w:rPr>
      </w:pPr>
    </w:p>
    <w:p w14:paraId="75B1A1CD" w14:textId="77777777" w:rsidR="001702AE" w:rsidRPr="00B9031D" w:rsidRDefault="001702AE" w:rsidP="006B54C7">
      <w:pPr>
        <w:jc w:val="center"/>
        <w:rPr>
          <w:sz w:val="36"/>
        </w:rPr>
      </w:pPr>
      <w:r w:rsidRPr="00B9031D">
        <w:rPr>
          <w:sz w:val="36"/>
        </w:rPr>
        <w:t>March 2023</w:t>
      </w:r>
    </w:p>
    <w:p w14:paraId="3A993BAB" w14:textId="77777777" w:rsidR="001702AE" w:rsidRPr="00B1341D" w:rsidRDefault="001702AE" w:rsidP="006B54C7">
      <w:pPr>
        <w:jc w:val="center"/>
        <w:rPr>
          <w:sz w:val="32"/>
        </w:rPr>
      </w:pPr>
    </w:p>
    <w:p w14:paraId="2392F540" w14:textId="77777777" w:rsidR="001702AE" w:rsidRDefault="001702AE" w:rsidP="006B54C7">
      <w:pPr>
        <w:rPr>
          <w:sz w:val="32"/>
        </w:rPr>
      </w:pPr>
    </w:p>
    <w:p w14:paraId="57D761D4" w14:textId="77777777" w:rsidR="001702AE" w:rsidRDefault="001702AE" w:rsidP="006B54C7">
      <w:pPr>
        <w:jc w:val="center"/>
        <w:rPr>
          <w:sz w:val="32"/>
        </w:rPr>
      </w:pPr>
    </w:p>
    <w:p w14:paraId="7CD0EA16" w14:textId="77777777" w:rsidR="001702AE" w:rsidRPr="00B9031D" w:rsidRDefault="001702AE" w:rsidP="006B54C7">
      <w:pPr>
        <w:jc w:val="center"/>
        <w:rPr>
          <w:sz w:val="34"/>
        </w:rPr>
      </w:pPr>
      <w:r w:rsidRPr="00B9031D">
        <w:rPr>
          <w:sz w:val="34"/>
        </w:rPr>
        <w:t>Dr Alexandra King</w:t>
      </w:r>
    </w:p>
    <w:p w14:paraId="75B159A8" w14:textId="77777777" w:rsidR="001702AE" w:rsidRDefault="001702AE" w:rsidP="006B54C7">
      <w:pPr>
        <w:jc w:val="center"/>
        <w:rPr>
          <w:sz w:val="34"/>
        </w:rPr>
      </w:pPr>
      <w:r w:rsidRPr="00B9031D">
        <w:rPr>
          <w:sz w:val="34"/>
        </w:rPr>
        <w:t>Social Action &amp; Research Centre</w:t>
      </w:r>
    </w:p>
    <w:p w14:paraId="2FC9720D" w14:textId="77777777" w:rsidR="001702AE" w:rsidRDefault="001702AE">
      <w:pPr>
        <w:spacing w:before="0" w:after="0"/>
        <w:rPr>
          <w:sz w:val="34"/>
        </w:rPr>
      </w:pPr>
      <w:r>
        <w:rPr>
          <w:sz w:val="34"/>
        </w:rPr>
        <w:br w:type="page"/>
      </w:r>
    </w:p>
    <w:sdt>
      <w:sdtPr>
        <w:rPr>
          <w:rFonts w:ascii="Avenir Next" w:eastAsia="AvenirNext LT Pro Bold" w:hAnsi="Avenir Next" w:cs="AvenirNext LT Pro Bold"/>
          <w:b w:val="0"/>
          <w:bCs w:val="0"/>
          <w:color w:val="575F61"/>
          <w:sz w:val="24"/>
          <w:szCs w:val="22"/>
          <w:lang w:val="en-AU"/>
        </w:rPr>
        <w:id w:val="-1612586958"/>
        <w:docPartObj>
          <w:docPartGallery w:val="Table of Contents"/>
          <w:docPartUnique/>
        </w:docPartObj>
      </w:sdtPr>
      <w:sdtEndPr>
        <w:rPr>
          <w:noProof/>
        </w:rPr>
      </w:sdtEndPr>
      <w:sdtContent>
        <w:p w14:paraId="5E29257A" w14:textId="77777777" w:rsidR="001702AE" w:rsidRPr="00B0567E" w:rsidRDefault="001702AE" w:rsidP="006B54C7">
          <w:pPr>
            <w:pStyle w:val="TOCHeading"/>
            <w:rPr>
              <w:rStyle w:val="Heading2Char"/>
            </w:rPr>
          </w:pPr>
          <w:r w:rsidRPr="00B0567E">
            <w:rPr>
              <w:rStyle w:val="Heading2Char"/>
            </w:rPr>
            <w:t>Contents</w:t>
          </w:r>
        </w:p>
        <w:p w14:paraId="3D1F8E51" w14:textId="13E77D9B" w:rsidR="00B0567E" w:rsidRDefault="001702AE">
          <w:pPr>
            <w:pStyle w:val="TOC1"/>
            <w:tabs>
              <w:tab w:val="right" w:leader="dot" w:pos="9940"/>
            </w:tabs>
            <w:rPr>
              <w:rFonts w:eastAsiaTheme="minorEastAsia" w:cstheme="minorBidi"/>
              <w:b w:val="0"/>
              <w:bCs w:val="0"/>
              <w:noProof/>
              <w:color w:val="auto"/>
              <w:sz w:val="22"/>
              <w:szCs w:val="22"/>
              <w:lang w:eastAsia="en-AU"/>
            </w:rPr>
          </w:pPr>
          <w:r>
            <w:fldChar w:fldCharType="begin"/>
          </w:r>
          <w:r>
            <w:instrText xml:space="preserve"> TOC \o "1-3" \h \z \u </w:instrText>
          </w:r>
          <w:r>
            <w:fldChar w:fldCharType="separate"/>
          </w:r>
          <w:hyperlink w:anchor="_Toc131232831" w:history="1">
            <w:r w:rsidR="00B0567E" w:rsidRPr="006D2AEA">
              <w:rPr>
                <w:rStyle w:val="Hyperlink"/>
                <w:noProof/>
              </w:rPr>
              <w:t>About Anglicare Tasmania</w:t>
            </w:r>
            <w:r w:rsidR="00B0567E">
              <w:rPr>
                <w:noProof/>
                <w:webHidden/>
              </w:rPr>
              <w:tab/>
            </w:r>
            <w:r w:rsidR="00B0567E">
              <w:rPr>
                <w:noProof/>
                <w:webHidden/>
              </w:rPr>
              <w:fldChar w:fldCharType="begin"/>
            </w:r>
            <w:r w:rsidR="00B0567E">
              <w:rPr>
                <w:noProof/>
                <w:webHidden/>
              </w:rPr>
              <w:instrText xml:space="preserve"> PAGEREF _Toc131232831 \h </w:instrText>
            </w:r>
            <w:r w:rsidR="00B0567E">
              <w:rPr>
                <w:noProof/>
                <w:webHidden/>
              </w:rPr>
            </w:r>
            <w:r w:rsidR="00B0567E">
              <w:rPr>
                <w:noProof/>
                <w:webHidden/>
              </w:rPr>
              <w:fldChar w:fldCharType="separate"/>
            </w:r>
            <w:r w:rsidR="002679F9">
              <w:rPr>
                <w:noProof/>
                <w:webHidden/>
              </w:rPr>
              <w:t>5</w:t>
            </w:r>
            <w:r w:rsidR="00B0567E">
              <w:rPr>
                <w:noProof/>
                <w:webHidden/>
              </w:rPr>
              <w:fldChar w:fldCharType="end"/>
            </w:r>
          </w:hyperlink>
        </w:p>
        <w:p w14:paraId="7EA37E6E" w14:textId="51A68074"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32" w:history="1">
            <w:r w:rsidR="00B0567E" w:rsidRPr="006D2AEA">
              <w:rPr>
                <w:rStyle w:val="Hyperlink"/>
                <w:noProof/>
              </w:rPr>
              <w:t>Glossary</w:t>
            </w:r>
            <w:r w:rsidR="00B0567E">
              <w:rPr>
                <w:noProof/>
                <w:webHidden/>
              </w:rPr>
              <w:tab/>
            </w:r>
            <w:r w:rsidR="00B0567E">
              <w:rPr>
                <w:noProof/>
                <w:webHidden/>
              </w:rPr>
              <w:fldChar w:fldCharType="begin"/>
            </w:r>
            <w:r w:rsidR="00B0567E">
              <w:rPr>
                <w:noProof/>
                <w:webHidden/>
              </w:rPr>
              <w:instrText xml:space="preserve"> PAGEREF _Toc131232832 \h </w:instrText>
            </w:r>
            <w:r w:rsidR="00B0567E">
              <w:rPr>
                <w:noProof/>
                <w:webHidden/>
              </w:rPr>
            </w:r>
            <w:r w:rsidR="00B0567E">
              <w:rPr>
                <w:noProof/>
                <w:webHidden/>
              </w:rPr>
              <w:fldChar w:fldCharType="separate"/>
            </w:r>
            <w:r>
              <w:rPr>
                <w:noProof/>
                <w:webHidden/>
              </w:rPr>
              <w:t>6</w:t>
            </w:r>
            <w:r w:rsidR="00B0567E">
              <w:rPr>
                <w:noProof/>
                <w:webHidden/>
              </w:rPr>
              <w:fldChar w:fldCharType="end"/>
            </w:r>
          </w:hyperlink>
        </w:p>
        <w:p w14:paraId="61364D53" w14:textId="7C9D01A9"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33" w:history="1">
            <w:r w:rsidR="00B0567E" w:rsidRPr="006D2AEA">
              <w:rPr>
                <w:rStyle w:val="Hyperlink"/>
                <w:noProof/>
              </w:rPr>
              <w:t>Our research and findings</w:t>
            </w:r>
            <w:r w:rsidR="00B0567E">
              <w:rPr>
                <w:noProof/>
                <w:webHidden/>
              </w:rPr>
              <w:tab/>
            </w:r>
            <w:r w:rsidR="00B0567E">
              <w:rPr>
                <w:noProof/>
                <w:webHidden/>
              </w:rPr>
              <w:fldChar w:fldCharType="begin"/>
            </w:r>
            <w:r w:rsidR="00B0567E">
              <w:rPr>
                <w:noProof/>
                <w:webHidden/>
              </w:rPr>
              <w:instrText xml:space="preserve"> PAGEREF _Toc131232833 \h </w:instrText>
            </w:r>
            <w:r w:rsidR="00B0567E">
              <w:rPr>
                <w:noProof/>
                <w:webHidden/>
              </w:rPr>
            </w:r>
            <w:r w:rsidR="00B0567E">
              <w:rPr>
                <w:noProof/>
                <w:webHidden/>
              </w:rPr>
              <w:fldChar w:fldCharType="separate"/>
            </w:r>
            <w:r>
              <w:rPr>
                <w:noProof/>
                <w:webHidden/>
              </w:rPr>
              <w:t>8</w:t>
            </w:r>
            <w:r w:rsidR="00B0567E">
              <w:rPr>
                <w:noProof/>
                <w:webHidden/>
              </w:rPr>
              <w:fldChar w:fldCharType="end"/>
            </w:r>
          </w:hyperlink>
        </w:p>
        <w:p w14:paraId="7B4163A8" w14:textId="25EC4BC8"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34" w:history="1">
            <w:r w:rsidR="00B0567E" w:rsidRPr="006D2AEA">
              <w:rPr>
                <w:rStyle w:val="Hyperlink"/>
                <w:noProof/>
              </w:rPr>
              <w:t>What we did</w:t>
            </w:r>
            <w:r w:rsidR="00B0567E">
              <w:rPr>
                <w:noProof/>
                <w:webHidden/>
              </w:rPr>
              <w:tab/>
            </w:r>
            <w:r w:rsidR="00B0567E">
              <w:rPr>
                <w:noProof/>
                <w:webHidden/>
              </w:rPr>
              <w:fldChar w:fldCharType="begin"/>
            </w:r>
            <w:r w:rsidR="00B0567E">
              <w:rPr>
                <w:noProof/>
                <w:webHidden/>
              </w:rPr>
              <w:instrText xml:space="preserve"> PAGEREF _Toc131232834 \h </w:instrText>
            </w:r>
            <w:r w:rsidR="00B0567E">
              <w:rPr>
                <w:noProof/>
                <w:webHidden/>
              </w:rPr>
            </w:r>
            <w:r w:rsidR="00B0567E">
              <w:rPr>
                <w:noProof/>
                <w:webHidden/>
              </w:rPr>
              <w:fldChar w:fldCharType="separate"/>
            </w:r>
            <w:r>
              <w:rPr>
                <w:noProof/>
                <w:webHidden/>
              </w:rPr>
              <w:t>8</w:t>
            </w:r>
            <w:r w:rsidR="00B0567E">
              <w:rPr>
                <w:noProof/>
                <w:webHidden/>
              </w:rPr>
              <w:fldChar w:fldCharType="end"/>
            </w:r>
          </w:hyperlink>
        </w:p>
        <w:p w14:paraId="16992390" w14:textId="029DB3E0"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35" w:history="1">
            <w:r w:rsidR="00B0567E" w:rsidRPr="006D2AEA">
              <w:rPr>
                <w:rStyle w:val="Hyperlink"/>
                <w:noProof/>
              </w:rPr>
              <w:t>Financial Counsellors told us</w:t>
            </w:r>
            <w:r w:rsidR="00B0567E">
              <w:rPr>
                <w:noProof/>
                <w:webHidden/>
              </w:rPr>
              <w:tab/>
            </w:r>
            <w:r w:rsidR="00B0567E">
              <w:rPr>
                <w:noProof/>
                <w:webHidden/>
              </w:rPr>
              <w:fldChar w:fldCharType="begin"/>
            </w:r>
            <w:r w:rsidR="00B0567E">
              <w:rPr>
                <w:noProof/>
                <w:webHidden/>
              </w:rPr>
              <w:instrText xml:space="preserve"> PAGEREF _Toc131232835 \h </w:instrText>
            </w:r>
            <w:r w:rsidR="00B0567E">
              <w:rPr>
                <w:noProof/>
                <w:webHidden/>
              </w:rPr>
            </w:r>
            <w:r w:rsidR="00B0567E">
              <w:rPr>
                <w:noProof/>
                <w:webHidden/>
              </w:rPr>
              <w:fldChar w:fldCharType="separate"/>
            </w:r>
            <w:r>
              <w:rPr>
                <w:noProof/>
                <w:webHidden/>
              </w:rPr>
              <w:t>8</w:t>
            </w:r>
            <w:r w:rsidR="00B0567E">
              <w:rPr>
                <w:noProof/>
                <w:webHidden/>
              </w:rPr>
              <w:fldChar w:fldCharType="end"/>
            </w:r>
          </w:hyperlink>
        </w:p>
        <w:p w14:paraId="0BF604C9" w14:textId="60210679"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36" w:history="1">
            <w:r w:rsidR="00B0567E" w:rsidRPr="006D2AEA">
              <w:rPr>
                <w:rStyle w:val="Hyperlink"/>
                <w:noProof/>
              </w:rPr>
              <w:t>Financial counselling data reveal that…</w:t>
            </w:r>
            <w:r w:rsidR="00B0567E">
              <w:rPr>
                <w:noProof/>
                <w:webHidden/>
              </w:rPr>
              <w:tab/>
            </w:r>
            <w:r w:rsidR="00B0567E">
              <w:rPr>
                <w:noProof/>
                <w:webHidden/>
              </w:rPr>
              <w:fldChar w:fldCharType="begin"/>
            </w:r>
            <w:r w:rsidR="00B0567E">
              <w:rPr>
                <w:noProof/>
                <w:webHidden/>
              </w:rPr>
              <w:instrText xml:space="preserve"> PAGEREF _Toc131232836 \h </w:instrText>
            </w:r>
            <w:r w:rsidR="00B0567E">
              <w:rPr>
                <w:noProof/>
                <w:webHidden/>
              </w:rPr>
            </w:r>
            <w:r w:rsidR="00B0567E">
              <w:rPr>
                <w:noProof/>
                <w:webHidden/>
              </w:rPr>
              <w:fldChar w:fldCharType="separate"/>
            </w:r>
            <w:r>
              <w:rPr>
                <w:noProof/>
                <w:webHidden/>
              </w:rPr>
              <w:t>9</w:t>
            </w:r>
            <w:r w:rsidR="00B0567E">
              <w:rPr>
                <w:noProof/>
                <w:webHidden/>
              </w:rPr>
              <w:fldChar w:fldCharType="end"/>
            </w:r>
          </w:hyperlink>
        </w:p>
        <w:p w14:paraId="782252B5" w14:textId="6654AE66"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37" w:history="1">
            <w:r w:rsidR="00B0567E" w:rsidRPr="006D2AEA">
              <w:rPr>
                <w:rStyle w:val="Hyperlink"/>
                <w:noProof/>
              </w:rPr>
              <w:t>Financial counselling clients with BNPL debts</w:t>
            </w:r>
            <w:r w:rsidR="00B0567E">
              <w:rPr>
                <w:noProof/>
                <w:webHidden/>
              </w:rPr>
              <w:tab/>
            </w:r>
            <w:r w:rsidR="00B0567E">
              <w:rPr>
                <w:noProof/>
                <w:webHidden/>
              </w:rPr>
              <w:fldChar w:fldCharType="begin"/>
            </w:r>
            <w:r w:rsidR="00B0567E">
              <w:rPr>
                <w:noProof/>
                <w:webHidden/>
              </w:rPr>
              <w:instrText xml:space="preserve"> PAGEREF _Toc131232837 \h </w:instrText>
            </w:r>
            <w:r w:rsidR="00B0567E">
              <w:rPr>
                <w:noProof/>
                <w:webHidden/>
              </w:rPr>
            </w:r>
            <w:r w:rsidR="00B0567E">
              <w:rPr>
                <w:noProof/>
                <w:webHidden/>
              </w:rPr>
              <w:fldChar w:fldCharType="separate"/>
            </w:r>
            <w:r>
              <w:rPr>
                <w:noProof/>
                <w:webHidden/>
              </w:rPr>
              <w:t>10</w:t>
            </w:r>
            <w:r w:rsidR="00B0567E">
              <w:rPr>
                <w:noProof/>
                <w:webHidden/>
              </w:rPr>
              <w:fldChar w:fldCharType="end"/>
            </w:r>
          </w:hyperlink>
        </w:p>
        <w:p w14:paraId="57CBD2BA" w14:textId="50D915B1"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38" w:history="1">
            <w:r w:rsidR="00B0567E" w:rsidRPr="006D2AEA">
              <w:rPr>
                <w:rStyle w:val="Hyperlink"/>
                <w:noProof/>
              </w:rPr>
              <w:t>Financial counselling data reveals that …</w:t>
            </w:r>
            <w:r w:rsidR="00B0567E">
              <w:rPr>
                <w:noProof/>
                <w:webHidden/>
              </w:rPr>
              <w:tab/>
            </w:r>
            <w:r w:rsidR="00B0567E">
              <w:rPr>
                <w:noProof/>
                <w:webHidden/>
              </w:rPr>
              <w:fldChar w:fldCharType="begin"/>
            </w:r>
            <w:r w:rsidR="00B0567E">
              <w:rPr>
                <w:noProof/>
                <w:webHidden/>
              </w:rPr>
              <w:instrText xml:space="preserve"> PAGEREF _Toc131232838 \h </w:instrText>
            </w:r>
            <w:r w:rsidR="00B0567E">
              <w:rPr>
                <w:noProof/>
                <w:webHidden/>
              </w:rPr>
            </w:r>
            <w:r w:rsidR="00B0567E">
              <w:rPr>
                <w:noProof/>
                <w:webHidden/>
              </w:rPr>
              <w:fldChar w:fldCharType="separate"/>
            </w:r>
            <w:r>
              <w:rPr>
                <w:noProof/>
                <w:webHidden/>
              </w:rPr>
              <w:t>11</w:t>
            </w:r>
            <w:r w:rsidR="00B0567E">
              <w:rPr>
                <w:noProof/>
                <w:webHidden/>
              </w:rPr>
              <w:fldChar w:fldCharType="end"/>
            </w:r>
          </w:hyperlink>
        </w:p>
        <w:p w14:paraId="416015D8" w14:textId="38CC682F"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39" w:history="1">
            <w:r w:rsidR="00B0567E" w:rsidRPr="006D2AEA">
              <w:rPr>
                <w:rStyle w:val="Hyperlink"/>
                <w:noProof/>
              </w:rPr>
              <w:t>What we recommend</w:t>
            </w:r>
            <w:r w:rsidR="00B0567E">
              <w:rPr>
                <w:noProof/>
                <w:webHidden/>
              </w:rPr>
              <w:tab/>
            </w:r>
            <w:r w:rsidR="00B0567E">
              <w:rPr>
                <w:noProof/>
                <w:webHidden/>
              </w:rPr>
              <w:fldChar w:fldCharType="begin"/>
            </w:r>
            <w:r w:rsidR="00B0567E">
              <w:rPr>
                <w:noProof/>
                <w:webHidden/>
              </w:rPr>
              <w:instrText xml:space="preserve"> PAGEREF _Toc131232839 \h </w:instrText>
            </w:r>
            <w:r w:rsidR="00B0567E">
              <w:rPr>
                <w:noProof/>
                <w:webHidden/>
              </w:rPr>
            </w:r>
            <w:r w:rsidR="00B0567E">
              <w:rPr>
                <w:noProof/>
                <w:webHidden/>
              </w:rPr>
              <w:fldChar w:fldCharType="separate"/>
            </w:r>
            <w:r>
              <w:rPr>
                <w:noProof/>
                <w:webHidden/>
              </w:rPr>
              <w:t>12</w:t>
            </w:r>
            <w:r w:rsidR="00B0567E">
              <w:rPr>
                <w:noProof/>
                <w:webHidden/>
              </w:rPr>
              <w:fldChar w:fldCharType="end"/>
            </w:r>
          </w:hyperlink>
        </w:p>
        <w:p w14:paraId="1E32C501" w14:textId="7E4DE143"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40" w:history="1">
            <w:r w:rsidR="00B0567E" w:rsidRPr="006D2AEA">
              <w:rPr>
                <w:rStyle w:val="Hyperlink"/>
                <w:noProof/>
              </w:rPr>
              <w:t>1. Financial counselling and Buy Now Pay Later</w:t>
            </w:r>
            <w:r w:rsidR="00B0567E">
              <w:rPr>
                <w:noProof/>
                <w:webHidden/>
              </w:rPr>
              <w:tab/>
            </w:r>
            <w:r w:rsidR="00B0567E">
              <w:rPr>
                <w:noProof/>
                <w:webHidden/>
              </w:rPr>
              <w:fldChar w:fldCharType="begin"/>
            </w:r>
            <w:r w:rsidR="00B0567E">
              <w:rPr>
                <w:noProof/>
                <w:webHidden/>
              </w:rPr>
              <w:instrText xml:space="preserve"> PAGEREF _Toc131232840 \h </w:instrText>
            </w:r>
            <w:r w:rsidR="00B0567E">
              <w:rPr>
                <w:noProof/>
                <w:webHidden/>
              </w:rPr>
            </w:r>
            <w:r w:rsidR="00B0567E">
              <w:rPr>
                <w:noProof/>
                <w:webHidden/>
              </w:rPr>
              <w:fldChar w:fldCharType="separate"/>
            </w:r>
            <w:r>
              <w:rPr>
                <w:noProof/>
                <w:webHidden/>
              </w:rPr>
              <w:t>13</w:t>
            </w:r>
            <w:r w:rsidR="00B0567E">
              <w:rPr>
                <w:noProof/>
                <w:webHidden/>
              </w:rPr>
              <w:fldChar w:fldCharType="end"/>
            </w:r>
          </w:hyperlink>
        </w:p>
        <w:p w14:paraId="1CBC806C" w14:textId="68082830"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41" w:history="1">
            <w:r w:rsidR="00B0567E" w:rsidRPr="006D2AEA">
              <w:rPr>
                <w:rStyle w:val="Hyperlink"/>
                <w:noProof/>
              </w:rPr>
              <w:t>1.1 Aims and benefits of financial counselling</w:t>
            </w:r>
            <w:r w:rsidR="00B0567E">
              <w:rPr>
                <w:noProof/>
                <w:webHidden/>
              </w:rPr>
              <w:tab/>
            </w:r>
            <w:r w:rsidR="00B0567E">
              <w:rPr>
                <w:noProof/>
                <w:webHidden/>
              </w:rPr>
              <w:fldChar w:fldCharType="begin"/>
            </w:r>
            <w:r w:rsidR="00B0567E">
              <w:rPr>
                <w:noProof/>
                <w:webHidden/>
              </w:rPr>
              <w:instrText xml:space="preserve"> PAGEREF _Toc131232841 \h </w:instrText>
            </w:r>
            <w:r w:rsidR="00B0567E">
              <w:rPr>
                <w:noProof/>
                <w:webHidden/>
              </w:rPr>
            </w:r>
            <w:r w:rsidR="00B0567E">
              <w:rPr>
                <w:noProof/>
                <w:webHidden/>
              </w:rPr>
              <w:fldChar w:fldCharType="separate"/>
            </w:r>
            <w:r>
              <w:rPr>
                <w:noProof/>
                <w:webHidden/>
              </w:rPr>
              <w:t>13</w:t>
            </w:r>
            <w:r w:rsidR="00B0567E">
              <w:rPr>
                <w:noProof/>
                <w:webHidden/>
              </w:rPr>
              <w:fldChar w:fldCharType="end"/>
            </w:r>
          </w:hyperlink>
        </w:p>
        <w:p w14:paraId="06976689" w14:textId="7AAE1165"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42" w:history="1">
            <w:r w:rsidR="00B0567E" w:rsidRPr="006D2AEA">
              <w:rPr>
                <w:rStyle w:val="Hyperlink"/>
                <w:noProof/>
              </w:rPr>
              <w:t>1.2 Anglicare Tasmania’s growing awareness of Buy Now Pay Later use by people in financial stress</w:t>
            </w:r>
            <w:r w:rsidR="00B0567E">
              <w:rPr>
                <w:noProof/>
                <w:webHidden/>
              </w:rPr>
              <w:tab/>
            </w:r>
            <w:r w:rsidR="00B0567E">
              <w:rPr>
                <w:noProof/>
                <w:webHidden/>
              </w:rPr>
              <w:fldChar w:fldCharType="begin"/>
            </w:r>
            <w:r w:rsidR="00B0567E">
              <w:rPr>
                <w:noProof/>
                <w:webHidden/>
              </w:rPr>
              <w:instrText xml:space="preserve"> PAGEREF _Toc131232842 \h </w:instrText>
            </w:r>
            <w:r w:rsidR="00B0567E">
              <w:rPr>
                <w:noProof/>
                <w:webHidden/>
              </w:rPr>
            </w:r>
            <w:r w:rsidR="00B0567E">
              <w:rPr>
                <w:noProof/>
                <w:webHidden/>
              </w:rPr>
              <w:fldChar w:fldCharType="separate"/>
            </w:r>
            <w:r>
              <w:rPr>
                <w:noProof/>
                <w:webHidden/>
              </w:rPr>
              <w:t>14</w:t>
            </w:r>
            <w:r w:rsidR="00B0567E">
              <w:rPr>
                <w:noProof/>
                <w:webHidden/>
              </w:rPr>
              <w:fldChar w:fldCharType="end"/>
            </w:r>
          </w:hyperlink>
        </w:p>
        <w:p w14:paraId="79454B31" w14:textId="26EAE7A9"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43" w:history="1">
            <w:r w:rsidR="00B0567E" w:rsidRPr="006D2AEA">
              <w:rPr>
                <w:rStyle w:val="Hyperlink"/>
                <w:noProof/>
              </w:rPr>
              <w:t>2. Buy Now Pay Later: Current issues</w:t>
            </w:r>
            <w:r w:rsidR="00B0567E">
              <w:rPr>
                <w:noProof/>
                <w:webHidden/>
              </w:rPr>
              <w:tab/>
            </w:r>
            <w:r w:rsidR="00B0567E">
              <w:rPr>
                <w:noProof/>
                <w:webHidden/>
              </w:rPr>
              <w:fldChar w:fldCharType="begin"/>
            </w:r>
            <w:r w:rsidR="00B0567E">
              <w:rPr>
                <w:noProof/>
                <w:webHidden/>
              </w:rPr>
              <w:instrText xml:space="preserve"> PAGEREF _Toc131232843 \h </w:instrText>
            </w:r>
            <w:r w:rsidR="00B0567E">
              <w:rPr>
                <w:noProof/>
                <w:webHidden/>
              </w:rPr>
            </w:r>
            <w:r w:rsidR="00B0567E">
              <w:rPr>
                <w:noProof/>
                <w:webHidden/>
              </w:rPr>
              <w:fldChar w:fldCharType="separate"/>
            </w:r>
            <w:r>
              <w:rPr>
                <w:noProof/>
                <w:webHidden/>
              </w:rPr>
              <w:t>15</w:t>
            </w:r>
            <w:r w:rsidR="00B0567E">
              <w:rPr>
                <w:noProof/>
                <w:webHidden/>
              </w:rPr>
              <w:fldChar w:fldCharType="end"/>
            </w:r>
          </w:hyperlink>
        </w:p>
        <w:p w14:paraId="72628431" w14:textId="7352645D"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44" w:history="1">
            <w:r w:rsidR="00B0567E" w:rsidRPr="006D2AEA">
              <w:rPr>
                <w:rStyle w:val="Hyperlink"/>
                <w:noProof/>
              </w:rPr>
              <w:t>2.1 The rise of Buy Now Pay Later in Australia</w:t>
            </w:r>
            <w:r w:rsidR="00B0567E">
              <w:rPr>
                <w:noProof/>
                <w:webHidden/>
              </w:rPr>
              <w:tab/>
            </w:r>
            <w:r w:rsidR="00B0567E">
              <w:rPr>
                <w:noProof/>
                <w:webHidden/>
              </w:rPr>
              <w:fldChar w:fldCharType="begin"/>
            </w:r>
            <w:r w:rsidR="00B0567E">
              <w:rPr>
                <w:noProof/>
                <w:webHidden/>
              </w:rPr>
              <w:instrText xml:space="preserve"> PAGEREF _Toc131232844 \h </w:instrText>
            </w:r>
            <w:r w:rsidR="00B0567E">
              <w:rPr>
                <w:noProof/>
                <w:webHidden/>
              </w:rPr>
            </w:r>
            <w:r w:rsidR="00B0567E">
              <w:rPr>
                <w:noProof/>
                <w:webHidden/>
              </w:rPr>
              <w:fldChar w:fldCharType="separate"/>
            </w:r>
            <w:r>
              <w:rPr>
                <w:noProof/>
                <w:webHidden/>
              </w:rPr>
              <w:t>15</w:t>
            </w:r>
            <w:r w:rsidR="00B0567E">
              <w:rPr>
                <w:noProof/>
                <w:webHidden/>
              </w:rPr>
              <w:fldChar w:fldCharType="end"/>
            </w:r>
          </w:hyperlink>
        </w:p>
        <w:p w14:paraId="4876537F" w14:textId="6A87C5DE"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45" w:history="1">
            <w:r w:rsidR="00B0567E" w:rsidRPr="006D2AEA">
              <w:rPr>
                <w:rStyle w:val="Hyperlink"/>
                <w:noProof/>
              </w:rPr>
              <w:t>2.2 Recent moves to strengthen regulation of Buy Now Pay Later</w:t>
            </w:r>
            <w:r w:rsidR="00B0567E">
              <w:rPr>
                <w:noProof/>
                <w:webHidden/>
              </w:rPr>
              <w:tab/>
            </w:r>
            <w:r w:rsidR="00B0567E">
              <w:rPr>
                <w:noProof/>
                <w:webHidden/>
              </w:rPr>
              <w:fldChar w:fldCharType="begin"/>
            </w:r>
            <w:r w:rsidR="00B0567E">
              <w:rPr>
                <w:noProof/>
                <w:webHidden/>
              </w:rPr>
              <w:instrText xml:space="preserve"> PAGEREF _Toc131232845 \h </w:instrText>
            </w:r>
            <w:r w:rsidR="00B0567E">
              <w:rPr>
                <w:noProof/>
                <w:webHidden/>
              </w:rPr>
            </w:r>
            <w:r w:rsidR="00B0567E">
              <w:rPr>
                <w:noProof/>
                <w:webHidden/>
              </w:rPr>
              <w:fldChar w:fldCharType="separate"/>
            </w:r>
            <w:r>
              <w:rPr>
                <w:noProof/>
                <w:webHidden/>
              </w:rPr>
              <w:t>15</w:t>
            </w:r>
            <w:r w:rsidR="00B0567E">
              <w:rPr>
                <w:noProof/>
                <w:webHidden/>
              </w:rPr>
              <w:fldChar w:fldCharType="end"/>
            </w:r>
          </w:hyperlink>
        </w:p>
        <w:p w14:paraId="7E6E072D" w14:textId="33729123"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46" w:history="1">
            <w:r w:rsidR="00B0567E" w:rsidRPr="006D2AEA">
              <w:rPr>
                <w:rStyle w:val="Hyperlink"/>
                <w:noProof/>
              </w:rPr>
              <w:t>2.3 Emerging evidence of harms from Buy Now Pay Later debts for financial counselling clients</w:t>
            </w:r>
            <w:r w:rsidR="00B0567E">
              <w:rPr>
                <w:noProof/>
                <w:webHidden/>
              </w:rPr>
              <w:tab/>
            </w:r>
            <w:r w:rsidR="00B0567E">
              <w:rPr>
                <w:noProof/>
                <w:webHidden/>
              </w:rPr>
              <w:fldChar w:fldCharType="begin"/>
            </w:r>
            <w:r w:rsidR="00B0567E">
              <w:rPr>
                <w:noProof/>
                <w:webHidden/>
              </w:rPr>
              <w:instrText xml:space="preserve"> PAGEREF _Toc131232846 \h </w:instrText>
            </w:r>
            <w:r w:rsidR="00B0567E">
              <w:rPr>
                <w:noProof/>
                <w:webHidden/>
              </w:rPr>
            </w:r>
            <w:r w:rsidR="00B0567E">
              <w:rPr>
                <w:noProof/>
                <w:webHidden/>
              </w:rPr>
              <w:fldChar w:fldCharType="separate"/>
            </w:r>
            <w:r>
              <w:rPr>
                <w:noProof/>
                <w:webHidden/>
              </w:rPr>
              <w:t>17</w:t>
            </w:r>
            <w:r w:rsidR="00B0567E">
              <w:rPr>
                <w:noProof/>
                <w:webHidden/>
              </w:rPr>
              <w:fldChar w:fldCharType="end"/>
            </w:r>
          </w:hyperlink>
        </w:p>
        <w:p w14:paraId="5E163398" w14:textId="493FEA84"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47" w:history="1">
            <w:r w:rsidR="00B0567E" w:rsidRPr="006D2AEA">
              <w:rPr>
                <w:rStyle w:val="Hyperlink"/>
                <w:noProof/>
              </w:rPr>
              <w:t>3. Financial Counsellors’ experiences of Buy Now Pay Later: Survey results</w:t>
            </w:r>
            <w:r w:rsidR="00B0567E">
              <w:rPr>
                <w:noProof/>
                <w:webHidden/>
              </w:rPr>
              <w:tab/>
            </w:r>
            <w:r w:rsidR="00B0567E">
              <w:rPr>
                <w:noProof/>
                <w:webHidden/>
              </w:rPr>
              <w:fldChar w:fldCharType="begin"/>
            </w:r>
            <w:r w:rsidR="00B0567E">
              <w:rPr>
                <w:noProof/>
                <w:webHidden/>
              </w:rPr>
              <w:instrText xml:space="preserve"> PAGEREF _Toc131232847 \h </w:instrText>
            </w:r>
            <w:r w:rsidR="00B0567E">
              <w:rPr>
                <w:noProof/>
                <w:webHidden/>
              </w:rPr>
            </w:r>
            <w:r w:rsidR="00B0567E">
              <w:rPr>
                <w:noProof/>
                <w:webHidden/>
              </w:rPr>
              <w:fldChar w:fldCharType="separate"/>
            </w:r>
            <w:r>
              <w:rPr>
                <w:noProof/>
                <w:webHidden/>
              </w:rPr>
              <w:t>19</w:t>
            </w:r>
            <w:r w:rsidR="00B0567E">
              <w:rPr>
                <w:noProof/>
                <w:webHidden/>
              </w:rPr>
              <w:fldChar w:fldCharType="end"/>
            </w:r>
          </w:hyperlink>
        </w:p>
        <w:p w14:paraId="14C63DF1" w14:textId="180766F9"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48" w:history="1">
            <w:r w:rsidR="00B0567E" w:rsidRPr="006D2AEA">
              <w:rPr>
                <w:rStyle w:val="Hyperlink"/>
                <w:noProof/>
              </w:rPr>
              <w:t>Key findings</w:t>
            </w:r>
            <w:r w:rsidR="00B0567E">
              <w:rPr>
                <w:noProof/>
                <w:webHidden/>
              </w:rPr>
              <w:tab/>
            </w:r>
            <w:r w:rsidR="00B0567E">
              <w:rPr>
                <w:noProof/>
                <w:webHidden/>
              </w:rPr>
              <w:fldChar w:fldCharType="begin"/>
            </w:r>
            <w:r w:rsidR="00B0567E">
              <w:rPr>
                <w:noProof/>
                <w:webHidden/>
              </w:rPr>
              <w:instrText xml:space="preserve"> PAGEREF _Toc131232848 \h </w:instrText>
            </w:r>
            <w:r w:rsidR="00B0567E">
              <w:rPr>
                <w:noProof/>
                <w:webHidden/>
              </w:rPr>
            </w:r>
            <w:r w:rsidR="00B0567E">
              <w:rPr>
                <w:noProof/>
                <w:webHidden/>
              </w:rPr>
              <w:fldChar w:fldCharType="separate"/>
            </w:r>
            <w:r>
              <w:rPr>
                <w:noProof/>
                <w:webHidden/>
              </w:rPr>
              <w:t>19</w:t>
            </w:r>
            <w:r w:rsidR="00B0567E">
              <w:rPr>
                <w:noProof/>
                <w:webHidden/>
              </w:rPr>
              <w:fldChar w:fldCharType="end"/>
            </w:r>
          </w:hyperlink>
        </w:p>
        <w:p w14:paraId="1442F35C" w14:textId="55DC9BA7"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49" w:history="1">
            <w:r w:rsidR="00B0567E" w:rsidRPr="006D2AEA">
              <w:rPr>
                <w:rStyle w:val="Hyperlink"/>
                <w:noProof/>
              </w:rPr>
              <w:t>3.1 Introduction</w:t>
            </w:r>
            <w:r w:rsidR="00B0567E">
              <w:rPr>
                <w:noProof/>
                <w:webHidden/>
              </w:rPr>
              <w:tab/>
            </w:r>
            <w:r w:rsidR="00B0567E">
              <w:rPr>
                <w:noProof/>
                <w:webHidden/>
              </w:rPr>
              <w:fldChar w:fldCharType="begin"/>
            </w:r>
            <w:r w:rsidR="00B0567E">
              <w:rPr>
                <w:noProof/>
                <w:webHidden/>
              </w:rPr>
              <w:instrText xml:space="preserve"> PAGEREF _Toc131232849 \h </w:instrText>
            </w:r>
            <w:r w:rsidR="00B0567E">
              <w:rPr>
                <w:noProof/>
                <w:webHidden/>
              </w:rPr>
            </w:r>
            <w:r w:rsidR="00B0567E">
              <w:rPr>
                <w:noProof/>
                <w:webHidden/>
              </w:rPr>
              <w:fldChar w:fldCharType="separate"/>
            </w:r>
            <w:r>
              <w:rPr>
                <w:noProof/>
                <w:webHidden/>
              </w:rPr>
              <w:t>19</w:t>
            </w:r>
            <w:r w:rsidR="00B0567E">
              <w:rPr>
                <w:noProof/>
                <w:webHidden/>
              </w:rPr>
              <w:fldChar w:fldCharType="end"/>
            </w:r>
          </w:hyperlink>
        </w:p>
        <w:p w14:paraId="677EDBB9" w14:textId="0545DA36" w:rsidR="00B0567E" w:rsidRDefault="002679F9">
          <w:pPr>
            <w:pStyle w:val="TOC3"/>
            <w:tabs>
              <w:tab w:val="right" w:leader="dot" w:pos="9940"/>
            </w:tabs>
            <w:rPr>
              <w:rFonts w:eastAsiaTheme="minorEastAsia" w:cstheme="minorBidi"/>
              <w:noProof/>
              <w:color w:val="auto"/>
              <w:sz w:val="22"/>
              <w:szCs w:val="22"/>
              <w:lang w:eastAsia="en-AU"/>
            </w:rPr>
          </w:pPr>
          <w:hyperlink w:anchor="_Toc131232850" w:history="1">
            <w:r w:rsidR="00B0567E" w:rsidRPr="006D2AEA">
              <w:rPr>
                <w:rStyle w:val="Hyperlink"/>
                <w:noProof/>
              </w:rPr>
              <w:t>BNPL debts are more common than 12 months ago</w:t>
            </w:r>
            <w:r w:rsidR="00B0567E">
              <w:rPr>
                <w:noProof/>
                <w:webHidden/>
              </w:rPr>
              <w:tab/>
            </w:r>
            <w:r w:rsidR="00B0567E">
              <w:rPr>
                <w:noProof/>
                <w:webHidden/>
              </w:rPr>
              <w:fldChar w:fldCharType="begin"/>
            </w:r>
            <w:r w:rsidR="00B0567E">
              <w:rPr>
                <w:noProof/>
                <w:webHidden/>
              </w:rPr>
              <w:instrText xml:space="preserve"> PAGEREF _Toc131232850 \h </w:instrText>
            </w:r>
            <w:r w:rsidR="00B0567E">
              <w:rPr>
                <w:noProof/>
                <w:webHidden/>
              </w:rPr>
            </w:r>
            <w:r w:rsidR="00B0567E">
              <w:rPr>
                <w:noProof/>
                <w:webHidden/>
              </w:rPr>
              <w:fldChar w:fldCharType="separate"/>
            </w:r>
            <w:r>
              <w:rPr>
                <w:noProof/>
                <w:webHidden/>
              </w:rPr>
              <w:t>20</w:t>
            </w:r>
            <w:r w:rsidR="00B0567E">
              <w:rPr>
                <w:noProof/>
                <w:webHidden/>
              </w:rPr>
              <w:fldChar w:fldCharType="end"/>
            </w:r>
          </w:hyperlink>
        </w:p>
        <w:p w14:paraId="08C0371B" w14:textId="650B820F" w:rsidR="00B0567E" w:rsidRDefault="002679F9">
          <w:pPr>
            <w:pStyle w:val="TOC3"/>
            <w:tabs>
              <w:tab w:val="right" w:leader="dot" w:pos="9940"/>
            </w:tabs>
            <w:rPr>
              <w:rFonts w:eastAsiaTheme="minorEastAsia" w:cstheme="minorBidi"/>
              <w:noProof/>
              <w:color w:val="auto"/>
              <w:sz w:val="22"/>
              <w:szCs w:val="22"/>
              <w:lang w:eastAsia="en-AU"/>
            </w:rPr>
          </w:pPr>
          <w:hyperlink w:anchor="_Toc131232851" w:history="1">
            <w:r w:rsidR="00B0567E" w:rsidRPr="006D2AEA">
              <w:rPr>
                <w:rStyle w:val="Hyperlink"/>
                <w:noProof/>
              </w:rPr>
              <w:t>Many clients have multiple Buy Now Pay Later debts or accounts</w:t>
            </w:r>
            <w:r w:rsidR="00B0567E">
              <w:rPr>
                <w:noProof/>
                <w:webHidden/>
              </w:rPr>
              <w:tab/>
            </w:r>
            <w:r w:rsidR="00B0567E">
              <w:rPr>
                <w:noProof/>
                <w:webHidden/>
              </w:rPr>
              <w:fldChar w:fldCharType="begin"/>
            </w:r>
            <w:r w:rsidR="00B0567E">
              <w:rPr>
                <w:noProof/>
                <w:webHidden/>
              </w:rPr>
              <w:instrText xml:space="preserve"> PAGEREF _Toc131232851 \h </w:instrText>
            </w:r>
            <w:r w:rsidR="00B0567E">
              <w:rPr>
                <w:noProof/>
                <w:webHidden/>
              </w:rPr>
            </w:r>
            <w:r w:rsidR="00B0567E">
              <w:rPr>
                <w:noProof/>
                <w:webHidden/>
              </w:rPr>
              <w:fldChar w:fldCharType="separate"/>
            </w:r>
            <w:r>
              <w:rPr>
                <w:noProof/>
                <w:webHidden/>
              </w:rPr>
              <w:t>20</w:t>
            </w:r>
            <w:r w:rsidR="00B0567E">
              <w:rPr>
                <w:noProof/>
                <w:webHidden/>
              </w:rPr>
              <w:fldChar w:fldCharType="end"/>
            </w:r>
          </w:hyperlink>
        </w:p>
        <w:p w14:paraId="510EB3B1" w14:textId="03B6E83E"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52" w:history="1">
            <w:r w:rsidR="00B0567E" w:rsidRPr="006D2AEA">
              <w:rPr>
                <w:rStyle w:val="Hyperlink"/>
                <w:noProof/>
              </w:rPr>
              <w:t>3.2 How clients view Buy Now Pay Later</w:t>
            </w:r>
            <w:r w:rsidR="00B0567E">
              <w:rPr>
                <w:noProof/>
                <w:webHidden/>
              </w:rPr>
              <w:tab/>
            </w:r>
            <w:r w:rsidR="00B0567E">
              <w:rPr>
                <w:noProof/>
                <w:webHidden/>
              </w:rPr>
              <w:fldChar w:fldCharType="begin"/>
            </w:r>
            <w:r w:rsidR="00B0567E">
              <w:rPr>
                <w:noProof/>
                <w:webHidden/>
              </w:rPr>
              <w:instrText xml:space="preserve"> PAGEREF _Toc131232852 \h </w:instrText>
            </w:r>
            <w:r w:rsidR="00B0567E">
              <w:rPr>
                <w:noProof/>
                <w:webHidden/>
              </w:rPr>
            </w:r>
            <w:r w:rsidR="00B0567E">
              <w:rPr>
                <w:noProof/>
                <w:webHidden/>
              </w:rPr>
              <w:fldChar w:fldCharType="separate"/>
            </w:r>
            <w:r>
              <w:rPr>
                <w:noProof/>
                <w:webHidden/>
              </w:rPr>
              <w:t>20</w:t>
            </w:r>
            <w:r w:rsidR="00B0567E">
              <w:rPr>
                <w:noProof/>
                <w:webHidden/>
              </w:rPr>
              <w:fldChar w:fldCharType="end"/>
            </w:r>
          </w:hyperlink>
        </w:p>
        <w:p w14:paraId="3C105F93" w14:textId="438AE9B0" w:rsidR="00B0567E" w:rsidRDefault="002679F9">
          <w:pPr>
            <w:pStyle w:val="TOC3"/>
            <w:tabs>
              <w:tab w:val="right" w:leader="dot" w:pos="9940"/>
            </w:tabs>
            <w:rPr>
              <w:rFonts w:eastAsiaTheme="minorEastAsia" w:cstheme="minorBidi"/>
              <w:noProof/>
              <w:color w:val="auto"/>
              <w:sz w:val="22"/>
              <w:szCs w:val="22"/>
              <w:lang w:eastAsia="en-AU"/>
            </w:rPr>
          </w:pPr>
          <w:hyperlink w:anchor="_Toc131232853" w:history="1">
            <w:r w:rsidR="00B0567E" w:rsidRPr="006D2AEA">
              <w:rPr>
                <w:rStyle w:val="Hyperlink"/>
                <w:noProof/>
              </w:rPr>
              <w:t>Many clients don’t recognise Buy Now Pay Later as a type of credit</w:t>
            </w:r>
            <w:r w:rsidR="00B0567E">
              <w:rPr>
                <w:noProof/>
                <w:webHidden/>
              </w:rPr>
              <w:tab/>
            </w:r>
            <w:r w:rsidR="00B0567E">
              <w:rPr>
                <w:noProof/>
                <w:webHidden/>
              </w:rPr>
              <w:fldChar w:fldCharType="begin"/>
            </w:r>
            <w:r w:rsidR="00B0567E">
              <w:rPr>
                <w:noProof/>
                <w:webHidden/>
              </w:rPr>
              <w:instrText xml:space="preserve"> PAGEREF _Toc131232853 \h </w:instrText>
            </w:r>
            <w:r w:rsidR="00B0567E">
              <w:rPr>
                <w:noProof/>
                <w:webHidden/>
              </w:rPr>
            </w:r>
            <w:r w:rsidR="00B0567E">
              <w:rPr>
                <w:noProof/>
                <w:webHidden/>
              </w:rPr>
              <w:fldChar w:fldCharType="separate"/>
            </w:r>
            <w:r>
              <w:rPr>
                <w:noProof/>
                <w:webHidden/>
              </w:rPr>
              <w:t>20</w:t>
            </w:r>
            <w:r w:rsidR="00B0567E">
              <w:rPr>
                <w:noProof/>
                <w:webHidden/>
              </w:rPr>
              <w:fldChar w:fldCharType="end"/>
            </w:r>
          </w:hyperlink>
        </w:p>
        <w:p w14:paraId="5B2F4ECF" w14:textId="3663DC12" w:rsidR="00B0567E" w:rsidRDefault="002679F9">
          <w:pPr>
            <w:pStyle w:val="TOC3"/>
            <w:tabs>
              <w:tab w:val="right" w:leader="dot" w:pos="9940"/>
            </w:tabs>
            <w:rPr>
              <w:rFonts w:eastAsiaTheme="minorEastAsia" w:cstheme="minorBidi"/>
              <w:noProof/>
              <w:color w:val="auto"/>
              <w:sz w:val="22"/>
              <w:szCs w:val="22"/>
              <w:lang w:eastAsia="en-AU"/>
            </w:rPr>
          </w:pPr>
          <w:hyperlink w:anchor="_Toc131232854" w:history="1">
            <w:r w:rsidR="00B0567E" w:rsidRPr="006D2AEA">
              <w:rPr>
                <w:rStyle w:val="Hyperlink"/>
                <w:noProof/>
              </w:rPr>
              <w:t>Some clients like using Buy Now Pay Later and don’t want to stop using it</w:t>
            </w:r>
            <w:r w:rsidR="00B0567E">
              <w:rPr>
                <w:noProof/>
                <w:webHidden/>
              </w:rPr>
              <w:tab/>
            </w:r>
            <w:r w:rsidR="00B0567E">
              <w:rPr>
                <w:noProof/>
                <w:webHidden/>
              </w:rPr>
              <w:fldChar w:fldCharType="begin"/>
            </w:r>
            <w:r w:rsidR="00B0567E">
              <w:rPr>
                <w:noProof/>
                <w:webHidden/>
              </w:rPr>
              <w:instrText xml:space="preserve"> PAGEREF _Toc131232854 \h </w:instrText>
            </w:r>
            <w:r w:rsidR="00B0567E">
              <w:rPr>
                <w:noProof/>
                <w:webHidden/>
              </w:rPr>
            </w:r>
            <w:r w:rsidR="00B0567E">
              <w:rPr>
                <w:noProof/>
                <w:webHidden/>
              </w:rPr>
              <w:fldChar w:fldCharType="separate"/>
            </w:r>
            <w:r>
              <w:rPr>
                <w:noProof/>
                <w:webHidden/>
              </w:rPr>
              <w:t>21</w:t>
            </w:r>
            <w:r w:rsidR="00B0567E">
              <w:rPr>
                <w:noProof/>
                <w:webHidden/>
              </w:rPr>
              <w:fldChar w:fldCharType="end"/>
            </w:r>
          </w:hyperlink>
        </w:p>
        <w:p w14:paraId="40EF552F" w14:textId="50853119"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55" w:history="1">
            <w:r w:rsidR="00B0567E" w:rsidRPr="006D2AEA">
              <w:rPr>
                <w:rStyle w:val="Hyperlink"/>
                <w:noProof/>
              </w:rPr>
              <w:t>3.3 How clients use Buy Now Pay Later</w:t>
            </w:r>
            <w:r w:rsidR="00B0567E">
              <w:rPr>
                <w:noProof/>
                <w:webHidden/>
              </w:rPr>
              <w:tab/>
            </w:r>
            <w:r w:rsidR="00B0567E">
              <w:rPr>
                <w:noProof/>
                <w:webHidden/>
              </w:rPr>
              <w:fldChar w:fldCharType="begin"/>
            </w:r>
            <w:r w:rsidR="00B0567E">
              <w:rPr>
                <w:noProof/>
                <w:webHidden/>
              </w:rPr>
              <w:instrText xml:space="preserve"> PAGEREF _Toc131232855 \h </w:instrText>
            </w:r>
            <w:r w:rsidR="00B0567E">
              <w:rPr>
                <w:noProof/>
                <w:webHidden/>
              </w:rPr>
            </w:r>
            <w:r w:rsidR="00B0567E">
              <w:rPr>
                <w:noProof/>
                <w:webHidden/>
              </w:rPr>
              <w:fldChar w:fldCharType="separate"/>
            </w:r>
            <w:r>
              <w:rPr>
                <w:noProof/>
                <w:webHidden/>
              </w:rPr>
              <w:t>21</w:t>
            </w:r>
            <w:r w:rsidR="00B0567E">
              <w:rPr>
                <w:noProof/>
                <w:webHidden/>
              </w:rPr>
              <w:fldChar w:fldCharType="end"/>
            </w:r>
          </w:hyperlink>
        </w:p>
        <w:p w14:paraId="38A3BAD3" w14:textId="0650C056" w:rsidR="00B0567E" w:rsidRDefault="002679F9">
          <w:pPr>
            <w:pStyle w:val="TOC3"/>
            <w:tabs>
              <w:tab w:val="right" w:leader="dot" w:pos="9940"/>
            </w:tabs>
            <w:rPr>
              <w:rFonts w:eastAsiaTheme="minorEastAsia" w:cstheme="minorBidi"/>
              <w:noProof/>
              <w:color w:val="auto"/>
              <w:sz w:val="22"/>
              <w:szCs w:val="22"/>
              <w:lang w:eastAsia="en-AU"/>
            </w:rPr>
          </w:pPr>
          <w:hyperlink w:anchor="_Toc131232856" w:history="1">
            <w:r w:rsidR="00B0567E" w:rsidRPr="006D2AEA">
              <w:rPr>
                <w:rStyle w:val="Hyperlink"/>
                <w:noProof/>
              </w:rPr>
              <w:t>Many clients are using Buy Now Pay Later to buy food and other essentials</w:t>
            </w:r>
            <w:r w:rsidR="00B0567E">
              <w:rPr>
                <w:noProof/>
                <w:webHidden/>
              </w:rPr>
              <w:tab/>
            </w:r>
            <w:r w:rsidR="00B0567E">
              <w:rPr>
                <w:noProof/>
                <w:webHidden/>
              </w:rPr>
              <w:fldChar w:fldCharType="begin"/>
            </w:r>
            <w:r w:rsidR="00B0567E">
              <w:rPr>
                <w:noProof/>
                <w:webHidden/>
              </w:rPr>
              <w:instrText xml:space="preserve"> PAGEREF _Toc131232856 \h </w:instrText>
            </w:r>
            <w:r w:rsidR="00B0567E">
              <w:rPr>
                <w:noProof/>
                <w:webHidden/>
              </w:rPr>
            </w:r>
            <w:r w:rsidR="00B0567E">
              <w:rPr>
                <w:noProof/>
                <w:webHidden/>
              </w:rPr>
              <w:fldChar w:fldCharType="separate"/>
            </w:r>
            <w:r>
              <w:rPr>
                <w:noProof/>
                <w:webHidden/>
              </w:rPr>
              <w:t>21</w:t>
            </w:r>
            <w:r w:rsidR="00B0567E">
              <w:rPr>
                <w:noProof/>
                <w:webHidden/>
              </w:rPr>
              <w:fldChar w:fldCharType="end"/>
            </w:r>
          </w:hyperlink>
        </w:p>
        <w:p w14:paraId="7C4306D1" w14:textId="14DE4B80" w:rsidR="00B0567E" w:rsidRDefault="002679F9">
          <w:pPr>
            <w:pStyle w:val="TOC3"/>
            <w:tabs>
              <w:tab w:val="right" w:leader="dot" w:pos="9940"/>
            </w:tabs>
            <w:rPr>
              <w:rFonts w:eastAsiaTheme="minorEastAsia" w:cstheme="minorBidi"/>
              <w:noProof/>
              <w:color w:val="auto"/>
              <w:sz w:val="22"/>
              <w:szCs w:val="22"/>
              <w:lang w:eastAsia="en-AU"/>
            </w:rPr>
          </w:pPr>
          <w:hyperlink w:anchor="_Toc131232857" w:history="1">
            <w:r w:rsidR="00B0567E" w:rsidRPr="006D2AEA">
              <w:rPr>
                <w:rStyle w:val="Hyperlink"/>
                <w:noProof/>
                <w:shd w:val="clear" w:color="auto" w:fill="FFFFFF"/>
              </w:rPr>
              <w:t>Some clients are using Buy Now Pay Later to spend more than they usually would</w:t>
            </w:r>
            <w:r w:rsidR="00B0567E">
              <w:rPr>
                <w:noProof/>
                <w:webHidden/>
              </w:rPr>
              <w:tab/>
            </w:r>
            <w:r w:rsidR="00B0567E">
              <w:rPr>
                <w:noProof/>
                <w:webHidden/>
              </w:rPr>
              <w:fldChar w:fldCharType="begin"/>
            </w:r>
            <w:r w:rsidR="00B0567E">
              <w:rPr>
                <w:noProof/>
                <w:webHidden/>
              </w:rPr>
              <w:instrText xml:space="preserve"> PAGEREF _Toc131232857 \h </w:instrText>
            </w:r>
            <w:r w:rsidR="00B0567E">
              <w:rPr>
                <w:noProof/>
                <w:webHidden/>
              </w:rPr>
            </w:r>
            <w:r w:rsidR="00B0567E">
              <w:rPr>
                <w:noProof/>
                <w:webHidden/>
              </w:rPr>
              <w:fldChar w:fldCharType="separate"/>
            </w:r>
            <w:r>
              <w:rPr>
                <w:noProof/>
                <w:webHidden/>
              </w:rPr>
              <w:t>21</w:t>
            </w:r>
            <w:r w:rsidR="00B0567E">
              <w:rPr>
                <w:noProof/>
                <w:webHidden/>
              </w:rPr>
              <w:fldChar w:fldCharType="end"/>
            </w:r>
          </w:hyperlink>
        </w:p>
        <w:p w14:paraId="32697BC9" w14:textId="2551714A"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58" w:history="1">
            <w:r w:rsidR="00B0567E" w:rsidRPr="006D2AEA">
              <w:rPr>
                <w:rStyle w:val="Hyperlink"/>
                <w:noProof/>
                <w:shd w:val="clear" w:color="auto" w:fill="FFFFFF"/>
              </w:rPr>
              <w:t>3.4 Impacts of Buy Now Pay Later on clients</w:t>
            </w:r>
            <w:r w:rsidR="00B0567E">
              <w:rPr>
                <w:noProof/>
                <w:webHidden/>
              </w:rPr>
              <w:tab/>
            </w:r>
            <w:r w:rsidR="00B0567E">
              <w:rPr>
                <w:noProof/>
                <w:webHidden/>
              </w:rPr>
              <w:fldChar w:fldCharType="begin"/>
            </w:r>
            <w:r w:rsidR="00B0567E">
              <w:rPr>
                <w:noProof/>
                <w:webHidden/>
              </w:rPr>
              <w:instrText xml:space="preserve"> PAGEREF _Toc131232858 \h </w:instrText>
            </w:r>
            <w:r w:rsidR="00B0567E">
              <w:rPr>
                <w:noProof/>
                <w:webHidden/>
              </w:rPr>
            </w:r>
            <w:r w:rsidR="00B0567E">
              <w:rPr>
                <w:noProof/>
                <w:webHidden/>
              </w:rPr>
              <w:fldChar w:fldCharType="separate"/>
            </w:r>
            <w:r>
              <w:rPr>
                <w:noProof/>
                <w:webHidden/>
              </w:rPr>
              <w:t>22</w:t>
            </w:r>
            <w:r w:rsidR="00B0567E">
              <w:rPr>
                <w:noProof/>
                <w:webHidden/>
              </w:rPr>
              <w:fldChar w:fldCharType="end"/>
            </w:r>
          </w:hyperlink>
        </w:p>
        <w:p w14:paraId="13BE8B3D" w14:textId="38C8E2B2" w:rsidR="00B0567E" w:rsidRDefault="002679F9">
          <w:pPr>
            <w:pStyle w:val="TOC3"/>
            <w:tabs>
              <w:tab w:val="right" w:leader="dot" w:pos="9940"/>
            </w:tabs>
            <w:rPr>
              <w:rFonts w:eastAsiaTheme="minorEastAsia" w:cstheme="minorBidi"/>
              <w:noProof/>
              <w:color w:val="auto"/>
              <w:sz w:val="22"/>
              <w:szCs w:val="22"/>
              <w:lang w:eastAsia="en-AU"/>
            </w:rPr>
          </w:pPr>
          <w:hyperlink w:anchor="_Toc131232859" w:history="1">
            <w:r w:rsidR="00B0567E" w:rsidRPr="006D2AEA">
              <w:rPr>
                <w:rStyle w:val="Hyperlink"/>
                <w:noProof/>
              </w:rPr>
              <w:t>Many clients are struggling to repay their Buy Now Pay Later debts</w:t>
            </w:r>
            <w:r w:rsidR="00B0567E">
              <w:rPr>
                <w:noProof/>
                <w:webHidden/>
              </w:rPr>
              <w:tab/>
            </w:r>
            <w:r w:rsidR="00B0567E">
              <w:rPr>
                <w:noProof/>
                <w:webHidden/>
              </w:rPr>
              <w:fldChar w:fldCharType="begin"/>
            </w:r>
            <w:r w:rsidR="00B0567E">
              <w:rPr>
                <w:noProof/>
                <w:webHidden/>
              </w:rPr>
              <w:instrText xml:space="preserve"> PAGEREF _Toc131232859 \h </w:instrText>
            </w:r>
            <w:r w:rsidR="00B0567E">
              <w:rPr>
                <w:noProof/>
                <w:webHidden/>
              </w:rPr>
            </w:r>
            <w:r w:rsidR="00B0567E">
              <w:rPr>
                <w:noProof/>
                <w:webHidden/>
              </w:rPr>
              <w:fldChar w:fldCharType="separate"/>
            </w:r>
            <w:r>
              <w:rPr>
                <w:noProof/>
                <w:webHidden/>
              </w:rPr>
              <w:t>22</w:t>
            </w:r>
            <w:r w:rsidR="00B0567E">
              <w:rPr>
                <w:noProof/>
                <w:webHidden/>
              </w:rPr>
              <w:fldChar w:fldCharType="end"/>
            </w:r>
          </w:hyperlink>
        </w:p>
        <w:p w14:paraId="0FF06600" w14:textId="583B4ED0" w:rsidR="00B0567E" w:rsidRDefault="002679F9">
          <w:pPr>
            <w:pStyle w:val="TOC3"/>
            <w:tabs>
              <w:tab w:val="right" w:leader="dot" w:pos="9940"/>
            </w:tabs>
            <w:rPr>
              <w:rFonts w:eastAsiaTheme="minorEastAsia" w:cstheme="minorBidi"/>
              <w:noProof/>
              <w:color w:val="auto"/>
              <w:sz w:val="22"/>
              <w:szCs w:val="22"/>
              <w:lang w:eastAsia="en-AU"/>
            </w:rPr>
          </w:pPr>
          <w:hyperlink w:anchor="_Toc131232860" w:history="1">
            <w:r w:rsidR="00B0567E" w:rsidRPr="006D2AEA">
              <w:rPr>
                <w:rStyle w:val="Hyperlink"/>
                <w:noProof/>
                <w:shd w:val="clear" w:color="auto" w:fill="FFFFFF"/>
              </w:rPr>
              <w:t>Buy Now Pay Later debts are thought to be causing clients the most severe difficulties, compared to other debts</w:t>
            </w:r>
            <w:r w:rsidR="00B0567E">
              <w:rPr>
                <w:noProof/>
                <w:webHidden/>
              </w:rPr>
              <w:tab/>
            </w:r>
            <w:r w:rsidR="00B0567E">
              <w:rPr>
                <w:noProof/>
                <w:webHidden/>
              </w:rPr>
              <w:fldChar w:fldCharType="begin"/>
            </w:r>
            <w:r w:rsidR="00B0567E">
              <w:rPr>
                <w:noProof/>
                <w:webHidden/>
              </w:rPr>
              <w:instrText xml:space="preserve"> PAGEREF _Toc131232860 \h </w:instrText>
            </w:r>
            <w:r w:rsidR="00B0567E">
              <w:rPr>
                <w:noProof/>
                <w:webHidden/>
              </w:rPr>
            </w:r>
            <w:r w:rsidR="00B0567E">
              <w:rPr>
                <w:noProof/>
                <w:webHidden/>
              </w:rPr>
              <w:fldChar w:fldCharType="separate"/>
            </w:r>
            <w:r>
              <w:rPr>
                <w:noProof/>
                <w:webHidden/>
              </w:rPr>
              <w:t>22</w:t>
            </w:r>
            <w:r w:rsidR="00B0567E">
              <w:rPr>
                <w:noProof/>
                <w:webHidden/>
              </w:rPr>
              <w:fldChar w:fldCharType="end"/>
            </w:r>
          </w:hyperlink>
        </w:p>
        <w:p w14:paraId="1485C261" w14:textId="43351925" w:rsidR="00B0567E" w:rsidRDefault="002679F9">
          <w:pPr>
            <w:pStyle w:val="TOC3"/>
            <w:tabs>
              <w:tab w:val="right" w:leader="dot" w:pos="9940"/>
            </w:tabs>
            <w:rPr>
              <w:rFonts w:eastAsiaTheme="minorEastAsia" w:cstheme="minorBidi"/>
              <w:noProof/>
              <w:color w:val="auto"/>
              <w:sz w:val="22"/>
              <w:szCs w:val="22"/>
              <w:lang w:eastAsia="en-AU"/>
            </w:rPr>
          </w:pPr>
          <w:hyperlink w:anchor="_Toc131232861" w:history="1">
            <w:r w:rsidR="00B0567E" w:rsidRPr="006D2AEA">
              <w:rPr>
                <w:rStyle w:val="Hyperlink"/>
                <w:noProof/>
                <w:shd w:val="clear" w:color="auto" w:fill="FFFFFF"/>
              </w:rPr>
              <w:t>Some clients may have been coerced into Buy Now Pay Later debts by their intimate partners</w:t>
            </w:r>
            <w:r w:rsidR="00B0567E">
              <w:rPr>
                <w:noProof/>
                <w:webHidden/>
              </w:rPr>
              <w:tab/>
            </w:r>
            <w:r w:rsidR="00B0567E">
              <w:rPr>
                <w:noProof/>
                <w:webHidden/>
              </w:rPr>
              <w:fldChar w:fldCharType="begin"/>
            </w:r>
            <w:r w:rsidR="00B0567E">
              <w:rPr>
                <w:noProof/>
                <w:webHidden/>
              </w:rPr>
              <w:instrText xml:space="preserve"> PAGEREF _Toc131232861 \h </w:instrText>
            </w:r>
            <w:r w:rsidR="00B0567E">
              <w:rPr>
                <w:noProof/>
                <w:webHidden/>
              </w:rPr>
            </w:r>
            <w:r w:rsidR="00B0567E">
              <w:rPr>
                <w:noProof/>
                <w:webHidden/>
              </w:rPr>
              <w:fldChar w:fldCharType="separate"/>
            </w:r>
            <w:r>
              <w:rPr>
                <w:noProof/>
                <w:webHidden/>
              </w:rPr>
              <w:t>22</w:t>
            </w:r>
            <w:r w:rsidR="00B0567E">
              <w:rPr>
                <w:noProof/>
                <w:webHidden/>
              </w:rPr>
              <w:fldChar w:fldCharType="end"/>
            </w:r>
          </w:hyperlink>
        </w:p>
        <w:p w14:paraId="6A7EB570" w14:textId="48158E6B" w:rsidR="00B0567E" w:rsidRDefault="002679F9">
          <w:pPr>
            <w:pStyle w:val="TOC3"/>
            <w:tabs>
              <w:tab w:val="right" w:leader="dot" w:pos="9940"/>
            </w:tabs>
            <w:rPr>
              <w:rFonts w:eastAsiaTheme="minorEastAsia" w:cstheme="minorBidi"/>
              <w:noProof/>
              <w:color w:val="auto"/>
              <w:sz w:val="22"/>
              <w:szCs w:val="22"/>
              <w:lang w:eastAsia="en-AU"/>
            </w:rPr>
          </w:pPr>
          <w:hyperlink w:anchor="_Toc131232862" w:history="1">
            <w:r w:rsidR="00B0567E" w:rsidRPr="006D2AEA">
              <w:rPr>
                <w:rStyle w:val="Hyperlink"/>
                <w:noProof/>
                <w:shd w:val="clear" w:color="auto" w:fill="FFFFFF"/>
              </w:rPr>
              <w:t>Hardship policies and practices of Buy Now Pay Later providers are sometimes helpful</w:t>
            </w:r>
            <w:r w:rsidR="00B0567E">
              <w:rPr>
                <w:noProof/>
                <w:webHidden/>
              </w:rPr>
              <w:tab/>
            </w:r>
            <w:r w:rsidR="00B0567E">
              <w:rPr>
                <w:noProof/>
                <w:webHidden/>
              </w:rPr>
              <w:fldChar w:fldCharType="begin"/>
            </w:r>
            <w:r w:rsidR="00B0567E">
              <w:rPr>
                <w:noProof/>
                <w:webHidden/>
              </w:rPr>
              <w:instrText xml:space="preserve"> PAGEREF _Toc131232862 \h </w:instrText>
            </w:r>
            <w:r w:rsidR="00B0567E">
              <w:rPr>
                <w:noProof/>
                <w:webHidden/>
              </w:rPr>
            </w:r>
            <w:r w:rsidR="00B0567E">
              <w:rPr>
                <w:noProof/>
                <w:webHidden/>
              </w:rPr>
              <w:fldChar w:fldCharType="separate"/>
            </w:r>
            <w:r>
              <w:rPr>
                <w:noProof/>
                <w:webHidden/>
              </w:rPr>
              <w:t>23</w:t>
            </w:r>
            <w:r w:rsidR="00B0567E">
              <w:rPr>
                <w:noProof/>
                <w:webHidden/>
              </w:rPr>
              <w:fldChar w:fldCharType="end"/>
            </w:r>
          </w:hyperlink>
        </w:p>
        <w:p w14:paraId="1A037E5A" w14:textId="334AEBE9" w:rsidR="00B0567E" w:rsidRDefault="002679F9">
          <w:pPr>
            <w:pStyle w:val="TOC3"/>
            <w:tabs>
              <w:tab w:val="right" w:leader="dot" w:pos="9940"/>
            </w:tabs>
            <w:rPr>
              <w:rFonts w:eastAsiaTheme="minorEastAsia" w:cstheme="minorBidi"/>
              <w:noProof/>
              <w:color w:val="auto"/>
              <w:sz w:val="22"/>
              <w:szCs w:val="22"/>
              <w:lang w:eastAsia="en-AU"/>
            </w:rPr>
          </w:pPr>
          <w:hyperlink w:anchor="_Toc131232863" w:history="1">
            <w:r w:rsidR="00B0567E" w:rsidRPr="006D2AEA">
              <w:rPr>
                <w:rStyle w:val="Hyperlink"/>
                <w:noProof/>
              </w:rPr>
              <w:t>Clients are sometimes benefiting from using Buy Now Pay Later</w:t>
            </w:r>
            <w:r w:rsidR="00B0567E">
              <w:rPr>
                <w:noProof/>
                <w:webHidden/>
              </w:rPr>
              <w:tab/>
            </w:r>
            <w:r w:rsidR="00B0567E">
              <w:rPr>
                <w:noProof/>
                <w:webHidden/>
              </w:rPr>
              <w:fldChar w:fldCharType="begin"/>
            </w:r>
            <w:r w:rsidR="00B0567E">
              <w:rPr>
                <w:noProof/>
                <w:webHidden/>
              </w:rPr>
              <w:instrText xml:space="preserve"> PAGEREF _Toc131232863 \h </w:instrText>
            </w:r>
            <w:r w:rsidR="00B0567E">
              <w:rPr>
                <w:noProof/>
                <w:webHidden/>
              </w:rPr>
            </w:r>
            <w:r w:rsidR="00B0567E">
              <w:rPr>
                <w:noProof/>
                <w:webHidden/>
              </w:rPr>
              <w:fldChar w:fldCharType="separate"/>
            </w:r>
            <w:r>
              <w:rPr>
                <w:noProof/>
                <w:webHidden/>
              </w:rPr>
              <w:t>23</w:t>
            </w:r>
            <w:r w:rsidR="00B0567E">
              <w:rPr>
                <w:noProof/>
                <w:webHidden/>
              </w:rPr>
              <w:fldChar w:fldCharType="end"/>
            </w:r>
          </w:hyperlink>
        </w:p>
        <w:p w14:paraId="1313156B" w14:textId="7B8A2D3C"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64" w:history="1">
            <w:r w:rsidR="00B0567E" w:rsidRPr="006D2AEA">
              <w:rPr>
                <w:rStyle w:val="Hyperlink"/>
                <w:noProof/>
                <w:lang w:eastAsia="en-AU"/>
              </w:rPr>
              <w:t>3.5 Buy Now Pay Later and the need for better regulation</w:t>
            </w:r>
            <w:r w:rsidR="00B0567E">
              <w:rPr>
                <w:noProof/>
                <w:webHidden/>
              </w:rPr>
              <w:tab/>
            </w:r>
            <w:r w:rsidR="00B0567E">
              <w:rPr>
                <w:noProof/>
                <w:webHidden/>
              </w:rPr>
              <w:fldChar w:fldCharType="begin"/>
            </w:r>
            <w:r w:rsidR="00B0567E">
              <w:rPr>
                <w:noProof/>
                <w:webHidden/>
              </w:rPr>
              <w:instrText xml:space="preserve"> PAGEREF _Toc131232864 \h </w:instrText>
            </w:r>
            <w:r w:rsidR="00B0567E">
              <w:rPr>
                <w:noProof/>
                <w:webHidden/>
              </w:rPr>
            </w:r>
            <w:r w:rsidR="00B0567E">
              <w:rPr>
                <w:noProof/>
                <w:webHidden/>
              </w:rPr>
              <w:fldChar w:fldCharType="separate"/>
            </w:r>
            <w:r>
              <w:rPr>
                <w:noProof/>
                <w:webHidden/>
              </w:rPr>
              <w:t>23</w:t>
            </w:r>
            <w:r w:rsidR="00B0567E">
              <w:rPr>
                <w:noProof/>
                <w:webHidden/>
              </w:rPr>
              <w:fldChar w:fldCharType="end"/>
            </w:r>
          </w:hyperlink>
        </w:p>
        <w:p w14:paraId="5E2971BA" w14:textId="4AC234C4" w:rsidR="00B0567E" w:rsidRDefault="002679F9">
          <w:pPr>
            <w:pStyle w:val="TOC3"/>
            <w:tabs>
              <w:tab w:val="right" w:leader="dot" w:pos="9940"/>
            </w:tabs>
            <w:rPr>
              <w:rFonts w:eastAsiaTheme="minorEastAsia" w:cstheme="minorBidi"/>
              <w:noProof/>
              <w:color w:val="auto"/>
              <w:sz w:val="22"/>
              <w:szCs w:val="22"/>
              <w:lang w:eastAsia="en-AU"/>
            </w:rPr>
          </w:pPr>
          <w:hyperlink w:anchor="_Toc131232865" w:history="1">
            <w:r w:rsidR="00B0567E" w:rsidRPr="006D2AEA">
              <w:rPr>
                <w:rStyle w:val="Hyperlink"/>
                <w:noProof/>
                <w:lang w:eastAsia="en-AU"/>
              </w:rPr>
              <w:t>Financial Counsellors think Buy Now Pay Later should be better regulated</w:t>
            </w:r>
            <w:r w:rsidR="00B0567E">
              <w:rPr>
                <w:noProof/>
                <w:webHidden/>
              </w:rPr>
              <w:tab/>
            </w:r>
            <w:r w:rsidR="00B0567E">
              <w:rPr>
                <w:noProof/>
                <w:webHidden/>
              </w:rPr>
              <w:fldChar w:fldCharType="begin"/>
            </w:r>
            <w:r w:rsidR="00B0567E">
              <w:rPr>
                <w:noProof/>
                <w:webHidden/>
              </w:rPr>
              <w:instrText xml:space="preserve"> PAGEREF _Toc131232865 \h </w:instrText>
            </w:r>
            <w:r w:rsidR="00B0567E">
              <w:rPr>
                <w:noProof/>
                <w:webHidden/>
              </w:rPr>
            </w:r>
            <w:r w:rsidR="00B0567E">
              <w:rPr>
                <w:noProof/>
                <w:webHidden/>
              </w:rPr>
              <w:fldChar w:fldCharType="separate"/>
            </w:r>
            <w:r>
              <w:rPr>
                <w:noProof/>
                <w:webHidden/>
              </w:rPr>
              <w:t>23</w:t>
            </w:r>
            <w:r w:rsidR="00B0567E">
              <w:rPr>
                <w:noProof/>
                <w:webHidden/>
              </w:rPr>
              <w:fldChar w:fldCharType="end"/>
            </w:r>
          </w:hyperlink>
        </w:p>
        <w:p w14:paraId="76FCCDD3" w14:textId="1BC2CBCB"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66" w:history="1">
            <w:r w:rsidR="00B0567E" w:rsidRPr="006D2AEA">
              <w:rPr>
                <w:rStyle w:val="Hyperlink"/>
                <w:noProof/>
              </w:rPr>
              <w:t>4. Characteristics of clients: Financial counselling data</w:t>
            </w:r>
            <w:r w:rsidR="00B0567E">
              <w:rPr>
                <w:noProof/>
                <w:webHidden/>
              </w:rPr>
              <w:tab/>
            </w:r>
            <w:r w:rsidR="00B0567E">
              <w:rPr>
                <w:noProof/>
                <w:webHidden/>
              </w:rPr>
              <w:fldChar w:fldCharType="begin"/>
            </w:r>
            <w:r w:rsidR="00B0567E">
              <w:rPr>
                <w:noProof/>
                <w:webHidden/>
              </w:rPr>
              <w:instrText xml:space="preserve"> PAGEREF _Toc131232866 \h </w:instrText>
            </w:r>
            <w:r w:rsidR="00B0567E">
              <w:rPr>
                <w:noProof/>
                <w:webHidden/>
              </w:rPr>
            </w:r>
            <w:r w:rsidR="00B0567E">
              <w:rPr>
                <w:noProof/>
                <w:webHidden/>
              </w:rPr>
              <w:fldChar w:fldCharType="separate"/>
            </w:r>
            <w:r>
              <w:rPr>
                <w:noProof/>
                <w:webHidden/>
              </w:rPr>
              <w:t>25</w:t>
            </w:r>
            <w:r w:rsidR="00B0567E">
              <w:rPr>
                <w:noProof/>
                <w:webHidden/>
              </w:rPr>
              <w:fldChar w:fldCharType="end"/>
            </w:r>
          </w:hyperlink>
        </w:p>
        <w:p w14:paraId="5B710F03" w14:textId="72777360"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67" w:history="1">
            <w:r w:rsidR="00B0567E" w:rsidRPr="006D2AEA">
              <w:rPr>
                <w:rStyle w:val="Hyperlink"/>
                <w:noProof/>
              </w:rPr>
              <w:t>Key findings</w:t>
            </w:r>
            <w:r w:rsidR="00B0567E">
              <w:rPr>
                <w:noProof/>
                <w:webHidden/>
              </w:rPr>
              <w:tab/>
            </w:r>
            <w:r w:rsidR="00B0567E">
              <w:rPr>
                <w:noProof/>
                <w:webHidden/>
              </w:rPr>
              <w:fldChar w:fldCharType="begin"/>
            </w:r>
            <w:r w:rsidR="00B0567E">
              <w:rPr>
                <w:noProof/>
                <w:webHidden/>
              </w:rPr>
              <w:instrText xml:space="preserve"> PAGEREF _Toc131232867 \h </w:instrText>
            </w:r>
            <w:r w:rsidR="00B0567E">
              <w:rPr>
                <w:noProof/>
                <w:webHidden/>
              </w:rPr>
            </w:r>
            <w:r w:rsidR="00B0567E">
              <w:rPr>
                <w:noProof/>
                <w:webHidden/>
              </w:rPr>
              <w:fldChar w:fldCharType="separate"/>
            </w:r>
            <w:r>
              <w:rPr>
                <w:noProof/>
                <w:webHidden/>
              </w:rPr>
              <w:t>25</w:t>
            </w:r>
            <w:r w:rsidR="00B0567E">
              <w:rPr>
                <w:noProof/>
                <w:webHidden/>
              </w:rPr>
              <w:fldChar w:fldCharType="end"/>
            </w:r>
          </w:hyperlink>
        </w:p>
        <w:p w14:paraId="1B59CD92" w14:textId="5EAD724F"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68" w:history="1">
            <w:r w:rsidR="00B0567E" w:rsidRPr="006D2AEA">
              <w:rPr>
                <w:rStyle w:val="Hyperlink"/>
                <w:noProof/>
              </w:rPr>
              <w:t>4.1 Overview</w:t>
            </w:r>
            <w:r w:rsidR="00B0567E">
              <w:rPr>
                <w:noProof/>
                <w:webHidden/>
              </w:rPr>
              <w:tab/>
            </w:r>
            <w:r w:rsidR="00B0567E">
              <w:rPr>
                <w:noProof/>
                <w:webHidden/>
              </w:rPr>
              <w:fldChar w:fldCharType="begin"/>
            </w:r>
            <w:r w:rsidR="00B0567E">
              <w:rPr>
                <w:noProof/>
                <w:webHidden/>
              </w:rPr>
              <w:instrText xml:space="preserve"> PAGEREF _Toc131232868 \h </w:instrText>
            </w:r>
            <w:r w:rsidR="00B0567E">
              <w:rPr>
                <w:noProof/>
                <w:webHidden/>
              </w:rPr>
            </w:r>
            <w:r w:rsidR="00B0567E">
              <w:rPr>
                <w:noProof/>
                <w:webHidden/>
              </w:rPr>
              <w:fldChar w:fldCharType="separate"/>
            </w:r>
            <w:r>
              <w:rPr>
                <w:noProof/>
                <w:webHidden/>
              </w:rPr>
              <w:t>25</w:t>
            </w:r>
            <w:r w:rsidR="00B0567E">
              <w:rPr>
                <w:noProof/>
                <w:webHidden/>
              </w:rPr>
              <w:fldChar w:fldCharType="end"/>
            </w:r>
          </w:hyperlink>
        </w:p>
        <w:p w14:paraId="5F300798" w14:textId="0F8926B0"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69" w:history="1">
            <w:r w:rsidR="00B0567E" w:rsidRPr="006D2AEA">
              <w:rPr>
                <w:rStyle w:val="Hyperlink"/>
                <w:noProof/>
              </w:rPr>
              <w:t>4.2 Gender</w:t>
            </w:r>
            <w:r w:rsidR="00B0567E">
              <w:rPr>
                <w:noProof/>
                <w:webHidden/>
              </w:rPr>
              <w:tab/>
            </w:r>
            <w:r w:rsidR="00B0567E">
              <w:rPr>
                <w:noProof/>
                <w:webHidden/>
              </w:rPr>
              <w:fldChar w:fldCharType="begin"/>
            </w:r>
            <w:r w:rsidR="00B0567E">
              <w:rPr>
                <w:noProof/>
                <w:webHidden/>
              </w:rPr>
              <w:instrText xml:space="preserve"> PAGEREF _Toc131232869 \h </w:instrText>
            </w:r>
            <w:r w:rsidR="00B0567E">
              <w:rPr>
                <w:noProof/>
                <w:webHidden/>
              </w:rPr>
            </w:r>
            <w:r w:rsidR="00B0567E">
              <w:rPr>
                <w:noProof/>
                <w:webHidden/>
              </w:rPr>
              <w:fldChar w:fldCharType="separate"/>
            </w:r>
            <w:r>
              <w:rPr>
                <w:noProof/>
                <w:webHidden/>
              </w:rPr>
              <w:t>26</w:t>
            </w:r>
            <w:r w:rsidR="00B0567E">
              <w:rPr>
                <w:noProof/>
                <w:webHidden/>
              </w:rPr>
              <w:fldChar w:fldCharType="end"/>
            </w:r>
          </w:hyperlink>
        </w:p>
        <w:p w14:paraId="50A03CD7" w14:textId="116D81BD"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70" w:history="1">
            <w:r w:rsidR="00B0567E" w:rsidRPr="006D2AEA">
              <w:rPr>
                <w:rStyle w:val="Hyperlink"/>
                <w:noProof/>
              </w:rPr>
              <w:t>4.3 Age profile</w:t>
            </w:r>
            <w:r w:rsidR="00B0567E">
              <w:rPr>
                <w:noProof/>
                <w:webHidden/>
              </w:rPr>
              <w:tab/>
            </w:r>
            <w:r w:rsidR="00B0567E">
              <w:rPr>
                <w:noProof/>
                <w:webHidden/>
              </w:rPr>
              <w:fldChar w:fldCharType="begin"/>
            </w:r>
            <w:r w:rsidR="00B0567E">
              <w:rPr>
                <w:noProof/>
                <w:webHidden/>
              </w:rPr>
              <w:instrText xml:space="preserve"> PAGEREF _Toc131232870 \h </w:instrText>
            </w:r>
            <w:r w:rsidR="00B0567E">
              <w:rPr>
                <w:noProof/>
                <w:webHidden/>
              </w:rPr>
            </w:r>
            <w:r w:rsidR="00B0567E">
              <w:rPr>
                <w:noProof/>
                <w:webHidden/>
              </w:rPr>
              <w:fldChar w:fldCharType="separate"/>
            </w:r>
            <w:r>
              <w:rPr>
                <w:noProof/>
                <w:webHidden/>
              </w:rPr>
              <w:t>26</w:t>
            </w:r>
            <w:r w:rsidR="00B0567E">
              <w:rPr>
                <w:noProof/>
                <w:webHidden/>
              </w:rPr>
              <w:fldChar w:fldCharType="end"/>
            </w:r>
          </w:hyperlink>
        </w:p>
        <w:p w14:paraId="2E4AF027" w14:textId="549358B7"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71" w:history="1">
            <w:r w:rsidR="00B0567E" w:rsidRPr="006D2AEA">
              <w:rPr>
                <w:rStyle w:val="Hyperlink"/>
                <w:noProof/>
              </w:rPr>
              <w:t>4.4 Country of birth and languages spoken</w:t>
            </w:r>
            <w:r w:rsidR="00B0567E">
              <w:rPr>
                <w:noProof/>
                <w:webHidden/>
              </w:rPr>
              <w:tab/>
            </w:r>
            <w:r w:rsidR="00B0567E">
              <w:rPr>
                <w:noProof/>
                <w:webHidden/>
              </w:rPr>
              <w:fldChar w:fldCharType="begin"/>
            </w:r>
            <w:r w:rsidR="00B0567E">
              <w:rPr>
                <w:noProof/>
                <w:webHidden/>
              </w:rPr>
              <w:instrText xml:space="preserve"> PAGEREF _Toc131232871 \h </w:instrText>
            </w:r>
            <w:r w:rsidR="00B0567E">
              <w:rPr>
                <w:noProof/>
                <w:webHidden/>
              </w:rPr>
            </w:r>
            <w:r w:rsidR="00B0567E">
              <w:rPr>
                <w:noProof/>
                <w:webHidden/>
              </w:rPr>
              <w:fldChar w:fldCharType="separate"/>
            </w:r>
            <w:r>
              <w:rPr>
                <w:noProof/>
                <w:webHidden/>
              </w:rPr>
              <w:t>28</w:t>
            </w:r>
            <w:r w:rsidR="00B0567E">
              <w:rPr>
                <w:noProof/>
                <w:webHidden/>
              </w:rPr>
              <w:fldChar w:fldCharType="end"/>
            </w:r>
          </w:hyperlink>
        </w:p>
        <w:p w14:paraId="0BEBDF2A" w14:textId="4CFA081D"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72" w:history="1">
            <w:r w:rsidR="00B0567E" w:rsidRPr="006D2AEA">
              <w:rPr>
                <w:rStyle w:val="Hyperlink"/>
                <w:noProof/>
              </w:rPr>
              <w:t>4.5 Aboriginal and/or Torres Strait Islander</w:t>
            </w:r>
            <w:r w:rsidR="00B0567E">
              <w:rPr>
                <w:noProof/>
                <w:webHidden/>
              </w:rPr>
              <w:tab/>
            </w:r>
            <w:r w:rsidR="00B0567E">
              <w:rPr>
                <w:noProof/>
                <w:webHidden/>
              </w:rPr>
              <w:fldChar w:fldCharType="begin"/>
            </w:r>
            <w:r w:rsidR="00B0567E">
              <w:rPr>
                <w:noProof/>
                <w:webHidden/>
              </w:rPr>
              <w:instrText xml:space="preserve"> PAGEREF _Toc131232872 \h </w:instrText>
            </w:r>
            <w:r w:rsidR="00B0567E">
              <w:rPr>
                <w:noProof/>
                <w:webHidden/>
              </w:rPr>
            </w:r>
            <w:r w:rsidR="00B0567E">
              <w:rPr>
                <w:noProof/>
                <w:webHidden/>
              </w:rPr>
              <w:fldChar w:fldCharType="separate"/>
            </w:r>
            <w:r>
              <w:rPr>
                <w:noProof/>
                <w:webHidden/>
              </w:rPr>
              <w:t>28</w:t>
            </w:r>
            <w:r w:rsidR="00B0567E">
              <w:rPr>
                <w:noProof/>
                <w:webHidden/>
              </w:rPr>
              <w:fldChar w:fldCharType="end"/>
            </w:r>
          </w:hyperlink>
        </w:p>
        <w:p w14:paraId="72DCFD4F" w14:textId="7D9CEAF1"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73" w:history="1">
            <w:r w:rsidR="00B0567E" w:rsidRPr="006D2AEA">
              <w:rPr>
                <w:rStyle w:val="Hyperlink"/>
                <w:noProof/>
              </w:rPr>
              <w:t>4.6 Educational attainment</w:t>
            </w:r>
            <w:r w:rsidR="00B0567E">
              <w:rPr>
                <w:noProof/>
                <w:webHidden/>
              </w:rPr>
              <w:tab/>
            </w:r>
            <w:r w:rsidR="00B0567E">
              <w:rPr>
                <w:noProof/>
                <w:webHidden/>
              </w:rPr>
              <w:fldChar w:fldCharType="begin"/>
            </w:r>
            <w:r w:rsidR="00B0567E">
              <w:rPr>
                <w:noProof/>
                <w:webHidden/>
              </w:rPr>
              <w:instrText xml:space="preserve"> PAGEREF _Toc131232873 \h </w:instrText>
            </w:r>
            <w:r w:rsidR="00B0567E">
              <w:rPr>
                <w:noProof/>
                <w:webHidden/>
              </w:rPr>
            </w:r>
            <w:r w:rsidR="00B0567E">
              <w:rPr>
                <w:noProof/>
                <w:webHidden/>
              </w:rPr>
              <w:fldChar w:fldCharType="separate"/>
            </w:r>
            <w:r>
              <w:rPr>
                <w:noProof/>
                <w:webHidden/>
              </w:rPr>
              <w:t>29</w:t>
            </w:r>
            <w:r w:rsidR="00B0567E">
              <w:rPr>
                <w:noProof/>
                <w:webHidden/>
              </w:rPr>
              <w:fldChar w:fldCharType="end"/>
            </w:r>
          </w:hyperlink>
        </w:p>
        <w:p w14:paraId="22EEC29A" w14:textId="533418A8"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74" w:history="1">
            <w:r w:rsidR="00B0567E" w:rsidRPr="006D2AEA">
              <w:rPr>
                <w:rStyle w:val="Hyperlink"/>
                <w:noProof/>
              </w:rPr>
              <w:t>5. Circumstances of clients: Financial counselling data</w:t>
            </w:r>
            <w:r w:rsidR="00B0567E">
              <w:rPr>
                <w:noProof/>
                <w:webHidden/>
              </w:rPr>
              <w:tab/>
            </w:r>
            <w:r w:rsidR="00B0567E">
              <w:rPr>
                <w:noProof/>
                <w:webHidden/>
              </w:rPr>
              <w:fldChar w:fldCharType="begin"/>
            </w:r>
            <w:r w:rsidR="00B0567E">
              <w:rPr>
                <w:noProof/>
                <w:webHidden/>
              </w:rPr>
              <w:instrText xml:space="preserve"> PAGEREF _Toc131232874 \h </w:instrText>
            </w:r>
            <w:r w:rsidR="00B0567E">
              <w:rPr>
                <w:noProof/>
                <w:webHidden/>
              </w:rPr>
            </w:r>
            <w:r w:rsidR="00B0567E">
              <w:rPr>
                <w:noProof/>
                <w:webHidden/>
              </w:rPr>
              <w:fldChar w:fldCharType="separate"/>
            </w:r>
            <w:r>
              <w:rPr>
                <w:noProof/>
                <w:webHidden/>
              </w:rPr>
              <w:t>30</w:t>
            </w:r>
            <w:r w:rsidR="00B0567E">
              <w:rPr>
                <w:noProof/>
                <w:webHidden/>
              </w:rPr>
              <w:fldChar w:fldCharType="end"/>
            </w:r>
          </w:hyperlink>
        </w:p>
        <w:p w14:paraId="3CAC4E02" w14:textId="4E2266F3"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75" w:history="1">
            <w:r w:rsidR="00B0567E" w:rsidRPr="006D2AEA">
              <w:rPr>
                <w:rStyle w:val="Hyperlink"/>
                <w:noProof/>
              </w:rPr>
              <w:t>Key findings</w:t>
            </w:r>
            <w:r w:rsidR="00B0567E">
              <w:rPr>
                <w:noProof/>
                <w:webHidden/>
              </w:rPr>
              <w:tab/>
            </w:r>
            <w:r w:rsidR="00B0567E">
              <w:rPr>
                <w:noProof/>
                <w:webHidden/>
              </w:rPr>
              <w:fldChar w:fldCharType="begin"/>
            </w:r>
            <w:r w:rsidR="00B0567E">
              <w:rPr>
                <w:noProof/>
                <w:webHidden/>
              </w:rPr>
              <w:instrText xml:space="preserve"> PAGEREF _Toc131232875 \h </w:instrText>
            </w:r>
            <w:r w:rsidR="00B0567E">
              <w:rPr>
                <w:noProof/>
                <w:webHidden/>
              </w:rPr>
            </w:r>
            <w:r w:rsidR="00B0567E">
              <w:rPr>
                <w:noProof/>
                <w:webHidden/>
              </w:rPr>
              <w:fldChar w:fldCharType="separate"/>
            </w:r>
            <w:r>
              <w:rPr>
                <w:noProof/>
                <w:webHidden/>
              </w:rPr>
              <w:t>30</w:t>
            </w:r>
            <w:r w:rsidR="00B0567E">
              <w:rPr>
                <w:noProof/>
                <w:webHidden/>
              </w:rPr>
              <w:fldChar w:fldCharType="end"/>
            </w:r>
          </w:hyperlink>
        </w:p>
        <w:p w14:paraId="3939882E" w14:textId="276FD744"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76" w:history="1">
            <w:r w:rsidR="00B0567E" w:rsidRPr="006D2AEA">
              <w:rPr>
                <w:rStyle w:val="Hyperlink"/>
                <w:noProof/>
              </w:rPr>
              <w:t>5.1 Primary Groups: an indicator of disadvantage</w:t>
            </w:r>
            <w:r w:rsidR="00B0567E">
              <w:rPr>
                <w:noProof/>
                <w:webHidden/>
              </w:rPr>
              <w:tab/>
            </w:r>
            <w:r w:rsidR="00B0567E">
              <w:rPr>
                <w:noProof/>
                <w:webHidden/>
              </w:rPr>
              <w:fldChar w:fldCharType="begin"/>
            </w:r>
            <w:r w:rsidR="00B0567E">
              <w:rPr>
                <w:noProof/>
                <w:webHidden/>
              </w:rPr>
              <w:instrText xml:space="preserve"> PAGEREF _Toc131232876 \h </w:instrText>
            </w:r>
            <w:r w:rsidR="00B0567E">
              <w:rPr>
                <w:noProof/>
                <w:webHidden/>
              </w:rPr>
            </w:r>
            <w:r w:rsidR="00B0567E">
              <w:rPr>
                <w:noProof/>
                <w:webHidden/>
              </w:rPr>
              <w:fldChar w:fldCharType="separate"/>
            </w:r>
            <w:r>
              <w:rPr>
                <w:noProof/>
                <w:webHidden/>
              </w:rPr>
              <w:t>30</w:t>
            </w:r>
            <w:r w:rsidR="00B0567E">
              <w:rPr>
                <w:noProof/>
                <w:webHidden/>
              </w:rPr>
              <w:fldChar w:fldCharType="end"/>
            </w:r>
          </w:hyperlink>
        </w:p>
        <w:p w14:paraId="6F2A244D" w14:textId="4D95CD8A"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77" w:history="1">
            <w:r w:rsidR="00B0567E" w:rsidRPr="006D2AEA">
              <w:rPr>
                <w:rStyle w:val="Hyperlink"/>
                <w:noProof/>
              </w:rPr>
              <w:t>5.2 Other measures of social and economic disadvantage</w:t>
            </w:r>
            <w:r w:rsidR="00B0567E">
              <w:rPr>
                <w:noProof/>
                <w:webHidden/>
              </w:rPr>
              <w:tab/>
            </w:r>
            <w:r w:rsidR="00B0567E">
              <w:rPr>
                <w:noProof/>
                <w:webHidden/>
              </w:rPr>
              <w:fldChar w:fldCharType="begin"/>
            </w:r>
            <w:r w:rsidR="00B0567E">
              <w:rPr>
                <w:noProof/>
                <w:webHidden/>
              </w:rPr>
              <w:instrText xml:space="preserve"> PAGEREF _Toc131232877 \h </w:instrText>
            </w:r>
            <w:r w:rsidR="00B0567E">
              <w:rPr>
                <w:noProof/>
                <w:webHidden/>
              </w:rPr>
            </w:r>
            <w:r w:rsidR="00B0567E">
              <w:rPr>
                <w:noProof/>
                <w:webHidden/>
              </w:rPr>
              <w:fldChar w:fldCharType="separate"/>
            </w:r>
            <w:r>
              <w:rPr>
                <w:noProof/>
                <w:webHidden/>
              </w:rPr>
              <w:t>31</w:t>
            </w:r>
            <w:r w:rsidR="00B0567E">
              <w:rPr>
                <w:noProof/>
                <w:webHidden/>
              </w:rPr>
              <w:fldChar w:fldCharType="end"/>
            </w:r>
          </w:hyperlink>
        </w:p>
        <w:p w14:paraId="3EBF84C6" w14:textId="69AB5C3C" w:rsidR="00B0567E" w:rsidRDefault="002679F9">
          <w:pPr>
            <w:pStyle w:val="TOC3"/>
            <w:tabs>
              <w:tab w:val="right" w:leader="dot" w:pos="9940"/>
            </w:tabs>
            <w:rPr>
              <w:rFonts w:eastAsiaTheme="minorEastAsia" w:cstheme="minorBidi"/>
              <w:noProof/>
              <w:color w:val="auto"/>
              <w:sz w:val="22"/>
              <w:szCs w:val="22"/>
              <w:lang w:eastAsia="en-AU"/>
            </w:rPr>
          </w:pPr>
          <w:hyperlink w:anchor="_Toc131232878" w:history="1">
            <w:r w:rsidR="00B0567E" w:rsidRPr="006D2AEA">
              <w:rPr>
                <w:rStyle w:val="Hyperlink"/>
                <w:noProof/>
              </w:rPr>
              <w:t>Relationship status</w:t>
            </w:r>
            <w:r w:rsidR="00B0567E">
              <w:rPr>
                <w:noProof/>
                <w:webHidden/>
              </w:rPr>
              <w:tab/>
            </w:r>
            <w:r w:rsidR="00B0567E">
              <w:rPr>
                <w:noProof/>
                <w:webHidden/>
              </w:rPr>
              <w:fldChar w:fldCharType="begin"/>
            </w:r>
            <w:r w:rsidR="00B0567E">
              <w:rPr>
                <w:noProof/>
                <w:webHidden/>
              </w:rPr>
              <w:instrText xml:space="preserve"> PAGEREF _Toc131232878 \h </w:instrText>
            </w:r>
            <w:r w:rsidR="00B0567E">
              <w:rPr>
                <w:noProof/>
                <w:webHidden/>
              </w:rPr>
            </w:r>
            <w:r w:rsidR="00B0567E">
              <w:rPr>
                <w:noProof/>
                <w:webHidden/>
              </w:rPr>
              <w:fldChar w:fldCharType="separate"/>
            </w:r>
            <w:r>
              <w:rPr>
                <w:noProof/>
                <w:webHidden/>
              </w:rPr>
              <w:t>32</w:t>
            </w:r>
            <w:r w:rsidR="00B0567E">
              <w:rPr>
                <w:noProof/>
                <w:webHidden/>
              </w:rPr>
              <w:fldChar w:fldCharType="end"/>
            </w:r>
          </w:hyperlink>
        </w:p>
        <w:p w14:paraId="545581DC" w14:textId="516993E0" w:rsidR="00B0567E" w:rsidRDefault="002679F9">
          <w:pPr>
            <w:pStyle w:val="TOC3"/>
            <w:tabs>
              <w:tab w:val="right" w:leader="dot" w:pos="9940"/>
            </w:tabs>
            <w:rPr>
              <w:rFonts w:eastAsiaTheme="minorEastAsia" w:cstheme="minorBidi"/>
              <w:noProof/>
              <w:color w:val="auto"/>
              <w:sz w:val="22"/>
              <w:szCs w:val="22"/>
              <w:lang w:eastAsia="en-AU"/>
            </w:rPr>
          </w:pPr>
          <w:hyperlink w:anchor="_Toc131232879" w:history="1">
            <w:r w:rsidR="00B0567E" w:rsidRPr="006D2AEA">
              <w:rPr>
                <w:rStyle w:val="Hyperlink"/>
                <w:noProof/>
              </w:rPr>
              <w:t>Parenting and other caring responsibilities</w:t>
            </w:r>
            <w:r w:rsidR="00B0567E">
              <w:rPr>
                <w:noProof/>
                <w:webHidden/>
              </w:rPr>
              <w:tab/>
            </w:r>
            <w:r w:rsidR="00B0567E">
              <w:rPr>
                <w:noProof/>
                <w:webHidden/>
              </w:rPr>
              <w:fldChar w:fldCharType="begin"/>
            </w:r>
            <w:r w:rsidR="00B0567E">
              <w:rPr>
                <w:noProof/>
                <w:webHidden/>
              </w:rPr>
              <w:instrText xml:space="preserve"> PAGEREF _Toc131232879 \h </w:instrText>
            </w:r>
            <w:r w:rsidR="00B0567E">
              <w:rPr>
                <w:noProof/>
                <w:webHidden/>
              </w:rPr>
            </w:r>
            <w:r w:rsidR="00B0567E">
              <w:rPr>
                <w:noProof/>
                <w:webHidden/>
              </w:rPr>
              <w:fldChar w:fldCharType="separate"/>
            </w:r>
            <w:r>
              <w:rPr>
                <w:noProof/>
                <w:webHidden/>
              </w:rPr>
              <w:t>32</w:t>
            </w:r>
            <w:r w:rsidR="00B0567E">
              <w:rPr>
                <w:noProof/>
                <w:webHidden/>
              </w:rPr>
              <w:fldChar w:fldCharType="end"/>
            </w:r>
          </w:hyperlink>
        </w:p>
        <w:p w14:paraId="6F63BE45" w14:textId="67BE2AFB" w:rsidR="00B0567E" w:rsidRDefault="002679F9">
          <w:pPr>
            <w:pStyle w:val="TOC3"/>
            <w:tabs>
              <w:tab w:val="right" w:leader="dot" w:pos="9940"/>
            </w:tabs>
            <w:rPr>
              <w:rFonts w:eastAsiaTheme="minorEastAsia" w:cstheme="minorBidi"/>
              <w:noProof/>
              <w:color w:val="auto"/>
              <w:sz w:val="22"/>
              <w:szCs w:val="22"/>
              <w:lang w:eastAsia="en-AU"/>
            </w:rPr>
          </w:pPr>
          <w:hyperlink w:anchor="_Toc131232880" w:history="1">
            <w:r w:rsidR="00B0567E" w:rsidRPr="006D2AEA">
              <w:rPr>
                <w:rStyle w:val="Hyperlink"/>
                <w:noProof/>
              </w:rPr>
              <w:t>Sources of income</w:t>
            </w:r>
            <w:r w:rsidR="00B0567E">
              <w:rPr>
                <w:noProof/>
                <w:webHidden/>
              </w:rPr>
              <w:tab/>
            </w:r>
            <w:r w:rsidR="00B0567E">
              <w:rPr>
                <w:noProof/>
                <w:webHidden/>
              </w:rPr>
              <w:fldChar w:fldCharType="begin"/>
            </w:r>
            <w:r w:rsidR="00B0567E">
              <w:rPr>
                <w:noProof/>
                <w:webHidden/>
              </w:rPr>
              <w:instrText xml:space="preserve"> PAGEREF _Toc131232880 \h </w:instrText>
            </w:r>
            <w:r w:rsidR="00B0567E">
              <w:rPr>
                <w:noProof/>
                <w:webHidden/>
              </w:rPr>
            </w:r>
            <w:r w:rsidR="00B0567E">
              <w:rPr>
                <w:noProof/>
                <w:webHidden/>
              </w:rPr>
              <w:fldChar w:fldCharType="separate"/>
            </w:r>
            <w:r>
              <w:rPr>
                <w:noProof/>
                <w:webHidden/>
              </w:rPr>
              <w:t>33</w:t>
            </w:r>
            <w:r w:rsidR="00B0567E">
              <w:rPr>
                <w:noProof/>
                <w:webHidden/>
              </w:rPr>
              <w:fldChar w:fldCharType="end"/>
            </w:r>
          </w:hyperlink>
        </w:p>
        <w:p w14:paraId="608745BD" w14:textId="2B915381" w:rsidR="00B0567E" w:rsidRDefault="002679F9">
          <w:pPr>
            <w:pStyle w:val="TOC3"/>
            <w:tabs>
              <w:tab w:val="right" w:leader="dot" w:pos="9940"/>
            </w:tabs>
            <w:rPr>
              <w:rFonts w:eastAsiaTheme="minorEastAsia" w:cstheme="minorBidi"/>
              <w:noProof/>
              <w:color w:val="auto"/>
              <w:sz w:val="22"/>
              <w:szCs w:val="22"/>
              <w:lang w:eastAsia="en-AU"/>
            </w:rPr>
          </w:pPr>
          <w:hyperlink w:anchor="_Toc131232881" w:history="1">
            <w:r w:rsidR="00B0567E" w:rsidRPr="006D2AEA">
              <w:rPr>
                <w:rStyle w:val="Hyperlink"/>
                <w:noProof/>
              </w:rPr>
              <w:t>Employment status</w:t>
            </w:r>
            <w:r w:rsidR="00B0567E">
              <w:rPr>
                <w:noProof/>
                <w:webHidden/>
              </w:rPr>
              <w:tab/>
            </w:r>
            <w:r w:rsidR="00B0567E">
              <w:rPr>
                <w:noProof/>
                <w:webHidden/>
              </w:rPr>
              <w:fldChar w:fldCharType="begin"/>
            </w:r>
            <w:r w:rsidR="00B0567E">
              <w:rPr>
                <w:noProof/>
                <w:webHidden/>
              </w:rPr>
              <w:instrText xml:space="preserve"> PAGEREF _Toc131232881 \h </w:instrText>
            </w:r>
            <w:r w:rsidR="00B0567E">
              <w:rPr>
                <w:noProof/>
                <w:webHidden/>
              </w:rPr>
            </w:r>
            <w:r w:rsidR="00B0567E">
              <w:rPr>
                <w:noProof/>
                <w:webHidden/>
              </w:rPr>
              <w:fldChar w:fldCharType="separate"/>
            </w:r>
            <w:r>
              <w:rPr>
                <w:noProof/>
                <w:webHidden/>
              </w:rPr>
              <w:t>34</w:t>
            </w:r>
            <w:r w:rsidR="00B0567E">
              <w:rPr>
                <w:noProof/>
                <w:webHidden/>
              </w:rPr>
              <w:fldChar w:fldCharType="end"/>
            </w:r>
          </w:hyperlink>
        </w:p>
        <w:p w14:paraId="408B5A6C" w14:textId="28ABF076" w:rsidR="00B0567E" w:rsidRDefault="002679F9">
          <w:pPr>
            <w:pStyle w:val="TOC3"/>
            <w:tabs>
              <w:tab w:val="right" w:leader="dot" w:pos="9940"/>
            </w:tabs>
            <w:rPr>
              <w:rFonts w:eastAsiaTheme="minorEastAsia" w:cstheme="minorBidi"/>
              <w:noProof/>
              <w:color w:val="auto"/>
              <w:sz w:val="22"/>
              <w:szCs w:val="22"/>
              <w:lang w:eastAsia="en-AU"/>
            </w:rPr>
          </w:pPr>
          <w:hyperlink w:anchor="_Toc131232882" w:history="1">
            <w:r w:rsidR="00B0567E" w:rsidRPr="006D2AEA">
              <w:rPr>
                <w:rStyle w:val="Hyperlink"/>
                <w:noProof/>
              </w:rPr>
              <w:t>Homelessness</w:t>
            </w:r>
            <w:r w:rsidR="00B0567E">
              <w:rPr>
                <w:noProof/>
                <w:webHidden/>
              </w:rPr>
              <w:tab/>
            </w:r>
            <w:r w:rsidR="00B0567E">
              <w:rPr>
                <w:noProof/>
                <w:webHidden/>
              </w:rPr>
              <w:fldChar w:fldCharType="begin"/>
            </w:r>
            <w:r w:rsidR="00B0567E">
              <w:rPr>
                <w:noProof/>
                <w:webHidden/>
              </w:rPr>
              <w:instrText xml:space="preserve"> PAGEREF _Toc131232882 \h </w:instrText>
            </w:r>
            <w:r w:rsidR="00B0567E">
              <w:rPr>
                <w:noProof/>
                <w:webHidden/>
              </w:rPr>
            </w:r>
            <w:r w:rsidR="00B0567E">
              <w:rPr>
                <w:noProof/>
                <w:webHidden/>
              </w:rPr>
              <w:fldChar w:fldCharType="separate"/>
            </w:r>
            <w:r>
              <w:rPr>
                <w:noProof/>
                <w:webHidden/>
              </w:rPr>
              <w:t>34</w:t>
            </w:r>
            <w:r w:rsidR="00B0567E">
              <w:rPr>
                <w:noProof/>
                <w:webHidden/>
              </w:rPr>
              <w:fldChar w:fldCharType="end"/>
            </w:r>
          </w:hyperlink>
        </w:p>
        <w:p w14:paraId="3D18B741" w14:textId="6A8DECB9" w:rsidR="00B0567E" w:rsidRDefault="002679F9">
          <w:pPr>
            <w:pStyle w:val="TOC3"/>
            <w:tabs>
              <w:tab w:val="right" w:leader="dot" w:pos="9940"/>
            </w:tabs>
            <w:rPr>
              <w:rFonts w:eastAsiaTheme="minorEastAsia" w:cstheme="minorBidi"/>
              <w:noProof/>
              <w:color w:val="auto"/>
              <w:sz w:val="22"/>
              <w:szCs w:val="22"/>
              <w:lang w:eastAsia="en-AU"/>
            </w:rPr>
          </w:pPr>
          <w:hyperlink w:anchor="_Toc131232883" w:history="1">
            <w:r w:rsidR="00B0567E" w:rsidRPr="006D2AEA">
              <w:rPr>
                <w:rStyle w:val="Hyperlink"/>
                <w:noProof/>
              </w:rPr>
              <w:t>Housing tenure</w:t>
            </w:r>
            <w:r w:rsidR="00B0567E">
              <w:rPr>
                <w:noProof/>
                <w:webHidden/>
              </w:rPr>
              <w:tab/>
            </w:r>
            <w:r w:rsidR="00B0567E">
              <w:rPr>
                <w:noProof/>
                <w:webHidden/>
              </w:rPr>
              <w:fldChar w:fldCharType="begin"/>
            </w:r>
            <w:r w:rsidR="00B0567E">
              <w:rPr>
                <w:noProof/>
                <w:webHidden/>
              </w:rPr>
              <w:instrText xml:space="preserve"> PAGEREF _Toc131232883 \h </w:instrText>
            </w:r>
            <w:r w:rsidR="00B0567E">
              <w:rPr>
                <w:noProof/>
                <w:webHidden/>
              </w:rPr>
            </w:r>
            <w:r w:rsidR="00B0567E">
              <w:rPr>
                <w:noProof/>
                <w:webHidden/>
              </w:rPr>
              <w:fldChar w:fldCharType="separate"/>
            </w:r>
            <w:r>
              <w:rPr>
                <w:noProof/>
                <w:webHidden/>
              </w:rPr>
              <w:t>34</w:t>
            </w:r>
            <w:r w:rsidR="00B0567E">
              <w:rPr>
                <w:noProof/>
                <w:webHidden/>
              </w:rPr>
              <w:fldChar w:fldCharType="end"/>
            </w:r>
          </w:hyperlink>
        </w:p>
        <w:p w14:paraId="783B002B" w14:textId="040EA81D" w:rsidR="00B0567E" w:rsidRDefault="002679F9">
          <w:pPr>
            <w:pStyle w:val="TOC3"/>
            <w:tabs>
              <w:tab w:val="right" w:leader="dot" w:pos="9940"/>
            </w:tabs>
            <w:rPr>
              <w:rFonts w:eastAsiaTheme="minorEastAsia" w:cstheme="minorBidi"/>
              <w:noProof/>
              <w:color w:val="auto"/>
              <w:sz w:val="22"/>
              <w:szCs w:val="22"/>
              <w:lang w:eastAsia="en-AU"/>
            </w:rPr>
          </w:pPr>
          <w:hyperlink w:anchor="_Toc131232884" w:history="1">
            <w:r w:rsidR="00B0567E" w:rsidRPr="006D2AEA">
              <w:rPr>
                <w:rStyle w:val="Hyperlink"/>
                <w:noProof/>
              </w:rPr>
              <w:t>Family violence</w:t>
            </w:r>
            <w:r w:rsidR="00B0567E">
              <w:rPr>
                <w:noProof/>
                <w:webHidden/>
              </w:rPr>
              <w:tab/>
            </w:r>
            <w:r w:rsidR="00B0567E">
              <w:rPr>
                <w:noProof/>
                <w:webHidden/>
              </w:rPr>
              <w:fldChar w:fldCharType="begin"/>
            </w:r>
            <w:r w:rsidR="00B0567E">
              <w:rPr>
                <w:noProof/>
                <w:webHidden/>
              </w:rPr>
              <w:instrText xml:space="preserve"> PAGEREF _Toc131232884 \h </w:instrText>
            </w:r>
            <w:r w:rsidR="00B0567E">
              <w:rPr>
                <w:noProof/>
                <w:webHidden/>
              </w:rPr>
            </w:r>
            <w:r w:rsidR="00B0567E">
              <w:rPr>
                <w:noProof/>
                <w:webHidden/>
              </w:rPr>
              <w:fldChar w:fldCharType="separate"/>
            </w:r>
            <w:r>
              <w:rPr>
                <w:noProof/>
                <w:webHidden/>
              </w:rPr>
              <w:t>35</w:t>
            </w:r>
            <w:r w:rsidR="00B0567E">
              <w:rPr>
                <w:noProof/>
                <w:webHidden/>
              </w:rPr>
              <w:fldChar w:fldCharType="end"/>
            </w:r>
          </w:hyperlink>
        </w:p>
        <w:p w14:paraId="0A825D5F" w14:textId="4F20C4D3" w:rsidR="00B0567E" w:rsidRDefault="002679F9">
          <w:pPr>
            <w:pStyle w:val="TOC3"/>
            <w:tabs>
              <w:tab w:val="right" w:leader="dot" w:pos="9940"/>
            </w:tabs>
            <w:rPr>
              <w:rFonts w:eastAsiaTheme="minorEastAsia" w:cstheme="minorBidi"/>
              <w:noProof/>
              <w:color w:val="auto"/>
              <w:sz w:val="22"/>
              <w:szCs w:val="22"/>
              <w:lang w:eastAsia="en-AU"/>
            </w:rPr>
          </w:pPr>
          <w:hyperlink w:anchor="_Toc131232885" w:history="1">
            <w:r w:rsidR="00B0567E" w:rsidRPr="006D2AEA">
              <w:rPr>
                <w:rStyle w:val="Hyperlink"/>
                <w:noProof/>
              </w:rPr>
              <w:t>Disabilities</w:t>
            </w:r>
            <w:r w:rsidR="00B0567E">
              <w:rPr>
                <w:noProof/>
                <w:webHidden/>
              </w:rPr>
              <w:tab/>
            </w:r>
            <w:r w:rsidR="00B0567E">
              <w:rPr>
                <w:noProof/>
                <w:webHidden/>
              </w:rPr>
              <w:fldChar w:fldCharType="begin"/>
            </w:r>
            <w:r w:rsidR="00B0567E">
              <w:rPr>
                <w:noProof/>
                <w:webHidden/>
              </w:rPr>
              <w:instrText xml:space="preserve"> PAGEREF _Toc131232885 \h </w:instrText>
            </w:r>
            <w:r w:rsidR="00B0567E">
              <w:rPr>
                <w:noProof/>
                <w:webHidden/>
              </w:rPr>
            </w:r>
            <w:r w:rsidR="00B0567E">
              <w:rPr>
                <w:noProof/>
                <w:webHidden/>
              </w:rPr>
              <w:fldChar w:fldCharType="separate"/>
            </w:r>
            <w:r>
              <w:rPr>
                <w:noProof/>
                <w:webHidden/>
              </w:rPr>
              <w:t>36</w:t>
            </w:r>
            <w:r w:rsidR="00B0567E">
              <w:rPr>
                <w:noProof/>
                <w:webHidden/>
              </w:rPr>
              <w:fldChar w:fldCharType="end"/>
            </w:r>
          </w:hyperlink>
        </w:p>
        <w:p w14:paraId="4644C0C8" w14:textId="233CFBA9" w:rsidR="00B0567E" w:rsidRDefault="002679F9">
          <w:pPr>
            <w:pStyle w:val="TOC3"/>
            <w:tabs>
              <w:tab w:val="right" w:leader="dot" w:pos="9940"/>
            </w:tabs>
            <w:rPr>
              <w:rFonts w:eastAsiaTheme="minorEastAsia" w:cstheme="minorBidi"/>
              <w:noProof/>
              <w:color w:val="auto"/>
              <w:sz w:val="22"/>
              <w:szCs w:val="22"/>
              <w:lang w:eastAsia="en-AU"/>
            </w:rPr>
          </w:pPr>
          <w:hyperlink w:anchor="_Toc131232886" w:history="1">
            <w:r w:rsidR="00B0567E" w:rsidRPr="006D2AEA">
              <w:rPr>
                <w:rStyle w:val="Hyperlink"/>
                <w:noProof/>
              </w:rPr>
              <w:t>Mental illness and mental health difficulties</w:t>
            </w:r>
            <w:r w:rsidR="00B0567E">
              <w:rPr>
                <w:noProof/>
                <w:webHidden/>
              </w:rPr>
              <w:tab/>
            </w:r>
            <w:r w:rsidR="00B0567E">
              <w:rPr>
                <w:noProof/>
                <w:webHidden/>
              </w:rPr>
              <w:fldChar w:fldCharType="begin"/>
            </w:r>
            <w:r w:rsidR="00B0567E">
              <w:rPr>
                <w:noProof/>
                <w:webHidden/>
              </w:rPr>
              <w:instrText xml:space="preserve"> PAGEREF _Toc131232886 \h </w:instrText>
            </w:r>
            <w:r w:rsidR="00B0567E">
              <w:rPr>
                <w:noProof/>
                <w:webHidden/>
              </w:rPr>
            </w:r>
            <w:r w:rsidR="00B0567E">
              <w:rPr>
                <w:noProof/>
                <w:webHidden/>
              </w:rPr>
              <w:fldChar w:fldCharType="separate"/>
            </w:r>
            <w:r>
              <w:rPr>
                <w:noProof/>
                <w:webHidden/>
              </w:rPr>
              <w:t>37</w:t>
            </w:r>
            <w:r w:rsidR="00B0567E">
              <w:rPr>
                <w:noProof/>
                <w:webHidden/>
              </w:rPr>
              <w:fldChar w:fldCharType="end"/>
            </w:r>
          </w:hyperlink>
        </w:p>
        <w:p w14:paraId="56A48622" w14:textId="153FF916" w:rsidR="00B0567E" w:rsidRDefault="002679F9">
          <w:pPr>
            <w:pStyle w:val="TOC3"/>
            <w:tabs>
              <w:tab w:val="right" w:leader="dot" w:pos="9940"/>
            </w:tabs>
            <w:rPr>
              <w:rFonts w:eastAsiaTheme="minorEastAsia" w:cstheme="minorBidi"/>
              <w:noProof/>
              <w:color w:val="auto"/>
              <w:sz w:val="22"/>
              <w:szCs w:val="22"/>
              <w:lang w:eastAsia="en-AU"/>
            </w:rPr>
          </w:pPr>
          <w:hyperlink w:anchor="_Toc131232887" w:history="1">
            <w:r w:rsidR="00B0567E" w:rsidRPr="006D2AEA">
              <w:rPr>
                <w:rStyle w:val="Hyperlink"/>
                <w:noProof/>
              </w:rPr>
              <w:t>Gambling harm</w:t>
            </w:r>
            <w:r w:rsidR="00B0567E">
              <w:rPr>
                <w:noProof/>
                <w:webHidden/>
              </w:rPr>
              <w:tab/>
            </w:r>
            <w:r w:rsidR="00B0567E">
              <w:rPr>
                <w:noProof/>
                <w:webHidden/>
              </w:rPr>
              <w:fldChar w:fldCharType="begin"/>
            </w:r>
            <w:r w:rsidR="00B0567E">
              <w:rPr>
                <w:noProof/>
                <w:webHidden/>
              </w:rPr>
              <w:instrText xml:space="preserve"> PAGEREF _Toc131232887 \h </w:instrText>
            </w:r>
            <w:r w:rsidR="00B0567E">
              <w:rPr>
                <w:noProof/>
                <w:webHidden/>
              </w:rPr>
            </w:r>
            <w:r w:rsidR="00B0567E">
              <w:rPr>
                <w:noProof/>
                <w:webHidden/>
              </w:rPr>
              <w:fldChar w:fldCharType="separate"/>
            </w:r>
            <w:r>
              <w:rPr>
                <w:noProof/>
                <w:webHidden/>
              </w:rPr>
              <w:t>37</w:t>
            </w:r>
            <w:r w:rsidR="00B0567E">
              <w:rPr>
                <w:noProof/>
                <w:webHidden/>
              </w:rPr>
              <w:fldChar w:fldCharType="end"/>
            </w:r>
          </w:hyperlink>
        </w:p>
        <w:p w14:paraId="00BA9927" w14:textId="043C0A37"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88" w:history="1">
            <w:r w:rsidR="00B0567E" w:rsidRPr="006D2AEA">
              <w:rPr>
                <w:rStyle w:val="Hyperlink"/>
                <w:noProof/>
              </w:rPr>
              <w:t>6. Buy Now Pay Later debts and other debts reported by clients: Financial counselling data</w:t>
            </w:r>
            <w:r w:rsidR="00B0567E">
              <w:rPr>
                <w:noProof/>
                <w:webHidden/>
              </w:rPr>
              <w:tab/>
            </w:r>
            <w:r w:rsidR="00B0567E">
              <w:rPr>
                <w:noProof/>
                <w:webHidden/>
              </w:rPr>
              <w:fldChar w:fldCharType="begin"/>
            </w:r>
            <w:r w:rsidR="00B0567E">
              <w:rPr>
                <w:noProof/>
                <w:webHidden/>
              </w:rPr>
              <w:instrText xml:space="preserve"> PAGEREF _Toc131232888 \h </w:instrText>
            </w:r>
            <w:r w:rsidR="00B0567E">
              <w:rPr>
                <w:noProof/>
                <w:webHidden/>
              </w:rPr>
            </w:r>
            <w:r w:rsidR="00B0567E">
              <w:rPr>
                <w:noProof/>
                <w:webHidden/>
              </w:rPr>
              <w:fldChar w:fldCharType="separate"/>
            </w:r>
            <w:r>
              <w:rPr>
                <w:noProof/>
                <w:webHidden/>
              </w:rPr>
              <w:t>38</w:t>
            </w:r>
            <w:r w:rsidR="00B0567E">
              <w:rPr>
                <w:noProof/>
                <w:webHidden/>
              </w:rPr>
              <w:fldChar w:fldCharType="end"/>
            </w:r>
          </w:hyperlink>
        </w:p>
        <w:p w14:paraId="119215A2" w14:textId="276ADF2E"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89" w:history="1">
            <w:r w:rsidR="00B0567E" w:rsidRPr="006D2AEA">
              <w:rPr>
                <w:rStyle w:val="Hyperlink"/>
                <w:noProof/>
              </w:rPr>
              <w:t>Key findings</w:t>
            </w:r>
            <w:r w:rsidR="00B0567E">
              <w:rPr>
                <w:noProof/>
                <w:webHidden/>
              </w:rPr>
              <w:tab/>
            </w:r>
            <w:r w:rsidR="00B0567E">
              <w:rPr>
                <w:noProof/>
                <w:webHidden/>
              </w:rPr>
              <w:fldChar w:fldCharType="begin"/>
            </w:r>
            <w:r w:rsidR="00B0567E">
              <w:rPr>
                <w:noProof/>
                <w:webHidden/>
              </w:rPr>
              <w:instrText xml:space="preserve"> PAGEREF _Toc131232889 \h </w:instrText>
            </w:r>
            <w:r w:rsidR="00B0567E">
              <w:rPr>
                <w:noProof/>
                <w:webHidden/>
              </w:rPr>
            </w:r>
            <w:r w:rsidR="00B0567E">
              <w:rPr>
                <w:noProof/>
                <w:webHidden/>
              </w:rPr>
              <w:fldChar w:fldCharType="separate"/>
            </w:r>
            <w:r>
              <w:rPr>
                <w:noProof/>
                <w:webHidden/>
              </w:rPr>
              <w:t>38</w:t>
            </w:r>
            <w:r w:rsidR="00B0567E">
              <w:rPr>
                <w:noProof/>
                <w:webHidden/>
              </w:rPr>
              <w:fldChar w:fldCharType="end"/>
            </w:r>
          </w:hyperlink>
        </w:p>
        <w:p w14:paraId="2C549EA0" w14:textId="1989D5D9"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0" w:history="1">
            <w:r w:rsidR="00B0567E" w:rsidRPr="006D2AEA">
              <w:rPr>
                <w:rStyle w:val="Hyperlink"/>
                <w:noProof/>
              </w:rPr>
              <w:t>6.1 Credit and debt issues</w:t>
            </w:r>
            <w:r w:rsidR="00B0567E">
              <w:rPr>
                <w:noProof/>
                <w:webHidden/>
              </w:rPr>
              <w:tab/>
            </w:r>
            <w:r w:rsidR="00B0567E">
              <w:rPr>
                <w:noProof/>
                <w:webHidden/>
              </w:rPr>
              <w:fldChar w:fldCharType="begin"/>
            </w:r>
            <w:r w:rsidR="00B0567E">
              <w:rPr>
                <w:noProof/>
                <w:webHidden/>
              </w:rPr>
              <w:instrText xml:space="preserve"> PAGEREF _Toc131232890 \h </w:instrText>
            </w:r>
            <w:r w:rsidR="00B0567E">
              <w:rPr>
                <w:noProof/>
                <w:webHidden/>
              </w:rPr>
            </w:r>
            <w:r w:rsidR="00B0567E">
              <w:rPr>
                <w:noProof/>
                <w:webHidden/>
              </w:rPr>
              <w:fldChar w:fldCharType="separate"/>
            </w:r>
            <w:r>
              <w:rPr>
                <w:noProof/>
                <w:webHidden/>
              </w:rPr>
              <w:t>38</w:t>
            </w:r>
            <w:r w:rsidR="00B0567E">
              <w:rPr>
                <w:noProof/>
                <w:webHidden/>
              </w:rPr>
              <w:fldChar w:fldCharType="end"/>
            </w:r>
          </w:hyperlink>
        </w:p>
        <w:p w14:paraId="45563D00" w14:textId="6AE7C206"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1" w:history="1">
            <w:r w:rsidR="00B0567E" w:rsidRPr="006D2AEA">
              <w:rPr>
                <w:rStyle w:val="Hyperlink"/>
                <w:noProof/>
              </w:rPr>
              <w:t>6.2 Characteristics of Buy Now Pay Later debts</w:t>
            </w:r>
            <w:r w:rsidR="00B0567E">
              <w:rPr>
                <w:noProof/>
                <w:webHidden/>
              </w:rPr>
              <w:tab/>
            </w:r>
            <w:r w:rsidR="00B0567E">
              <w:rPr>
                <w:noProof/>
                <w:webHidden/>
              </w:rPr>
              <w:fldChar w:fldCharType="begin"/>
            </w:r>
            <w:r w:rsidR="00B0567E">
              <w:rPr>
                <w:noProof/>
                <w:webHidden/>
              </w:rPr>
              <w:instrText xml:space="preserve"> PAGEREF _Toc131232891 \h </w:instrText>
            </w:r>
            <w:r w:rsidR="00B0567E">
              <w:rPr>
                <w:noProof/>
                <w:webHidden/>
              </w:rPr>
            </w:r>
            <w:r w:rsidR="00B0567E">
              <w:rPr>
                <w:noProof/>
                <w:webHidden/>
              </w:rPr>
              <w:fldChar w:fldCharType="separate"/>
            </w:r>
            <w:r>
              <w:rPr>
                <w:noProof/>
                <w:webHidden/>
              </w:rPr>
              <w:t>39</w:t>
            </w:r>
            <w:r w:rsidR="00B0567E">
              <w:rPr>
                <w:noProof/>
                <w:webHidden/>
              </w:rPr>
              <w:fldChar w:fldCharType="end"/>
            </w:r>
          </w:hyperlink>
        </w:p>
        <w:p w14:paraId="186EF52B" w14:textId="46A8AAEB"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2" w:history="1">
            <w:r w:rsidR="00B0567E" w:rsidRPr="006D2AEA">
              <w:rPr>
                <w:rStyle w:val="Hyperlink"/>
                <w:noProof/>
              </w:rPr>
              <w:t>6.3 Characteristics of non-Buy Now Pay Later debts</w:t>
            </w:r>
            <w:r w:rsidR="00B0567E">
              <w:rPr>
                <w:noProof/>
                <w:webHidden/>
              </w:rPr>
              <w:tab/>
            </w:r>
            <w:r w:rsidR="00B0567E">
              <w:rPr>
                <w:noProof/>
                <w:webHidden/>
              </w:rPr>
              <w:fldChar w:fldCharType="begin"/>
            </w:r>
            <w:r w:rsidR="00B0567E">
              <w:rPr>
                <w:noProof/>
                <w:webHidden/>
              </w:rPr>
              <w:instrText xml:space="preserve"> PAGEREF _Toc131232892 \h </w:instrText>
            </w:r>
            <w:r w:rsidR="00B0567E">
              <w:rPr>
                <w:noProof/>
                <w:webHidden/>
              </w:rPr>
            </w:r>
            <w:r w:rsidR="00B0567E">
              <w:rPr>
                <w:noProof/>
                <w:webHidden/>
              </w:rPr>
              <w:fldChar w:fldCharType="separate"/>
            </w:r>
            <w:r>
              <w:rPr>
                <w:noProof/>
                <w:webHidden/>
              </w:rPr>
              <w:t>39</w:t>
            </w:r>
            <w:r w:rsidR="00B0567E">
              <w:rPr>
                <w:noProof/>
                <w:webHidden/>
              </w:rPr>
              <w:fldChar w:fldCharType="end"/>
            </w:r>
          </w:hyperlink>
        </w:p>
        <w:p w14:paraId="73C02B6A" w14:textId="74AFE866"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893" w:history="1">
            <w:r w:rsidR="00B0567E" w:rsidRPr="006D2AEA">
              <w:rPr>
                <w:rStyle w:val="Hyperlink"/>
                <w:noProof/>
              </w:rPr>
              <w:t>7. Impacts of Buy Now Pay Later for people experiencing disadvantage</w:t>
            </w:r>
            <w:r w:rsidR="00B0567E">
              <w:rPr>
                <w:noProof/>
                <w:webHidden/>
              </w:rPr>
              <w:tab/>
            </w:r>
            <w:r w:rsidR="00B0567E">
              <w:rPr>
                <w:noProof/>
                <w:webHidden/>
              </w:rPr>
              <w:fldChar w:fldCharType="begin"/>
            </w:r>
            <w:r w:rsidR="00B0567E">
              <w:rPr>
                <w:noProof/>
                <w:webHidden/>
              </w:rPr>
              <w:instrText xml:space="preserve"> PAGEREF _Toc131232893 \h </w:instrText>
            </w:r>
            <w:r w:rsidR="00B0567E">
              <w:rPr>
                <w:noProof/>
                <w:webHidden/>
              </w:rPr>
            </w:r>
            <w:r w:rsidR="00B0567E">
              <w:rPr>
                <w:noProof/>
                <w:webHidden/>
              </w:rPr>
              <w:fldChar w:fldCharType="separate"/>
            </w:r>
            <w:r>
              <w:rPr>
                <w:noProof/>
                <w:webHidden/>
              </w:rPr>
              <w:t>42</w:t>
            </w:r>
            <w:r w:rsidR="00B0567E">
              <w:rPr>
                <w:noProof/>
                <w:webHidden/>
              </w:rPr>
              <w:fldChar w:fldCharType="end"/>
            </w:r>
          </w:hyperlink>
        </w:p>
        <w:p w14:paraId="2E4E7593" w14:textId="3859A82D"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4" w:history="1">
            <w:r w:rsidR="00B0567E" w:rsidRPr="006D2AEA">
              <w:rPr>
                <w:rStyle w:val="Hyperlink"/>
                <w:noProof/>
              </w:rPr>
              <w:t>7.1 The rise of fintech and Buy Now Pay Later</w:t>
            </w:r>
            <w:r w:rsidR="00B0567E">
              <w:rPr>
                <w:noProof/>
                <w:webHidden/>
              </w:rPr>
              <w:tab/>
            </w:r>
            <w:r w:rsidR="00B0567E">
              <w:rPr>
                <w:noProof/>
                <w:webHidden/>
              </w:rPr>
              <w:fldChar w:fldCharType="begin"/>
            </w:r>
            <w:r w:rsidR="00B0567E">
              <w:rPr>
                <w:noProof/>
                <w:webHidden/>
              </w:rPr>
              <w:instrText xml:space="preserve"> PAGEREF _Toc131232894 \h </w:instrText>
            </w:r>
            <w:r w:rsidR="00B0567E">
              <w:rPr>
                <w:noProof/>
                <w:webHidden/>
              </w:rPr>
            </w:r>
            <w:r w:rsidR="00B0567E">
              <w:rPr>
                <w:noProof/>
                <w:webHidden/>
              </w:rPr>
              <w:fldChar w:fldCharType="separate"/>
            </w:r>
            <w:r>
              <w:rPr>
                <w:noProof/>
                <w:webHidden/>
              </w:rPr>
              <w:t>42</w:t>
            </w:r>
            <w:r w:rsidR="00B0567E">
              <w:rPr>
                <w:noProof/>
                <w:webHidden/>
              </w:rPr>
              <w:fldChar w:fldCharType="end"/>
            </w:r>
          </w:hyperlink>
        </w:p>
        <w:p w14:paraId="130149D1" w14:textId="1DB6EB13"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5" w:history="1">
            <w:r w:rsidR="00B0567E" w:rsidRPr="006D2AEA">
              <w:rPr>
                <w:rStyle w:val="Hyperlink"/>
                <w:noProof/>
              </w:rPr>
              <w:t>7.2 Clients with Buy Now Pay Later debts are more likely to experience disadvantage across multiple life domains</w:t>
            </w:r>
            <w:r w:rsidR="00B0567E">
              <w:rPr>
                <w:noProof/>
                <w:webHidden/>
              </w:rPr>
              <w:tab/>
            </w:r>
            <w:r w:rsidR="00B0567E">
              <w:rPr>
                <w:noProof/>
                <w:webHidden/>
              </w:rPr>
              <w:fldChar w:fldCharType="begin"/>
            </w:r>
            <w:r w:rsidR="00B0567E">
              <w:rPr>
                <w:noProof/>
                <w:webHidden/>
              </w:rPr>
              <w:instrText xml:space="preserve"> PAGEREF _Toc131232895 \h </w:instrText>
            </w:r>
            <w:r w:rsidR="00B0567E">
              <w:rPr>
                <w:noProof/>
                <w:webHidden/>
              </w:rPr>
            </w:r>
            <w:r w:rsidR="00B0567E">
              <w:rPr>
                <w:noProof/>
                <w:webHidden/>
              </w:rPr>
              <w:fldChar w:fldCharType="separate"/>
            </w:r>
            <w:r>
              <w:rPr>
                <w:noProof/>
                <w:webHidden/>
              </w:rPr>
              <w:t>42</w:t>
            </w:r>
            <w:r w:rsidR="00B0567E">
              <w:rPr>
                <w:noProof/>
                <w:webHidden/>
              </w:rPr>
              <w:fldChar w:fldCharType="end"/>
            </w:r>
          </w:hyperlink>
        </w:p>
        <w:p w14:paraId="3379A05B" w14:textId="74B20DE1"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6" w:history="1">
            <w:r w:rsidR="00B0567E" w:rsidRPr="006D2AEA">
              <w:rPr>
                <w:rStyle w:val="Hyperlink"/>
                <w:noProof/>
              </w:rPr>
              <w:t>7.3 Buy Now Pay Later products are targeted to young people and adding to their debt levels</w:t>
            </w:r>
            <w:r w:rsidR="00B0567E">
              <w:rPr>
                <w:noProof/>
                <w:webHidden/>
              </w:rPr>
              <w:tab/>
            </w:r>
            <w:r w:rsidR="00B0567E">
              <w:rPr>
                <w:noProof/>
                <w:webHidden/>
              </w:rPr>
              <w:fldChar w:fldCharType="begin"/>
            </w:r>
            <w:r w:rsidR="00B0567E">
              <w:rPr>
                <w:noProof/>
                <w:webHidden/>
              </w:rPr>
              <w:instrText xml:space="preserve"> PAGEREF _Toc131232896 \h </w:instrText>
            </w:r>
            <w:r w:rsidR="00B0567E">
              <w:rPr>
                <w:noProof/>
                <w:webHidden/>
              </w:rPr>
            </w:r>
            <w:r w:rsidR="00B0567E">
              <w:rPr>
                <w:noProof/>
                <w:webHidden/>
              </w:rPr>
              <w:fldChar w:fldCharType="separate"/>
            </w:r>
            <w:r>
              <w:rPr>
                <w:noProof/>
                <w:webHidden/>
              </w:rPr>
              <w:t>42</w:t>
            </w:r>
            <w:r w:rsidR="00B0567E">
              <w:rPr>
                <w:noProof/>
                <w:webHidden/>
              </w:rPr>
              <w:fldChar w:fldCharType="end"/>
            </w:r>
          </w:hyperlink>
        </w:p>
        <w:p w14:paraId="5C099D32" w14:textId="30B5BF81"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7" w:history="1">
            <w:r w:rsidR="00B0567E" w:rsidRPr="006D2AEA">
              <w:rPr>
                <w:rStyle w:val="Hyperlink"/>
                <w:noProof/>
              </w:rPr>
              <w:t>7.4 Buy Now Pay Later debts are adding to an already complex picture of indebtedness for clients</w:t>
            </w:r>
            <w:r w:rsidR="00B0567E">
              <w:rPr>
                <w:noProof/>
                <w:webHidden/>
              </w:rPr>
              <w:tab/>
            </w:r>
            <w:r w:rsidR="00B0567E">
              <w:rPr>
                <w:noProof/>
                <w:webHidden/>
              </w:rPr>
              <w:fldChar w:fldCharType="begin"/>
            </w:r>
            <w:r w:rsidR="00B0567E">
              <w:rPr>
                <w:noProof/>
                <w:webHidden/>
              </w:rPr>
              <w:instrText xml:space="preserve"> PAGEREF _Toc131232897 \h </w:instrText>
            </w:r>
            <w:r w:rsidR="00B0567E">
              <w:rPr>
                <w:noProof/>
                <w:webHidden/>
              </w:rPr>
            </w:r>
            <w:r w:rsidR="00B0567E">
              <w:rPr>
                <w:noProof/>
                <w:webHidden/>
              </w:rPr>
              <w:fldChar w:fldCharType="separate"/>
            </w:r>
            <w:r>
              <w:rPr>
                <w:noProof/>
                <w:webHidden/>
              </w:rPr>
              <w:t>43</w:t>
            </w:r>
            <w:r w:rsidR="00B0567E">
              <w:rPr>
                <w:noProof/>
                <w:webHidden/>
              </w:rPr>
              <w:fldChar w:fldCharType="end"/>
            </w:r>
          </w:hyperlink>
        </w:p>
        <w:p w14:paraId="77E074B5" w14:textId="27491BC2"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8" w:history="1">
            <w:r w:rsidR="00B0567E" w:rsidRPr="006D2AEA">
              <w:rPr>
                <w:rStyle w:val="Hyperlink"/>
                <w:noProof/>
              </w:rPr>
              <w:t>7.5 Buy Now Pay Later debts complicate financial stress and mental illness</w:t>
            </w:r>
            <w:r w:rsidR="00B0567E">
              <w:rPr>
                <w:noProof/>
                <w:webHidden/>
              </w:rPr>
              <w:tab/>
            </w:r>
            <w:r w:rsidR="00B0567E">
              <w:rPr>
                <w:noProof/>
                <w:webHidden/>
              </w:rPr>
              <w:fldChar w:fldCharType="begin"/>
            </w:r>
            <w:r w:rsidR="00B0567E">
              <w:rPr>
                <w:noProof/>
                <w:webHidden/>
              </w:rPr>
              <w:instrText xml:space="preserve"> PAGEREF _Toc131232898 \h </w:instrText>
            </w:r>
            <w:r w:rsidR="00B0567E">
              <w:rPr>
                <w:noProof/>
                <w:webHidden/>
              </w:rPr>
            </w:r>
            <w:r w:rsidR="00B0567E">
              <w:rPr>
                <w:noProof/>
                <w:webHidden/>
              </w:rPr>
              <w:fldChar w:fldCharType="separate"/>
            </w:r>
            <w:r>
              <w:rPr>
                <w:noProof/>
                <w:webHidden/>
              </w:rPr>
              <w:t>44</w:t>
            </w:r>
            <w:r w:rsidR="00B0567E">
              <w:rPr>
                <w:noProof/>
                <w:webHidden/>
              </w:rPr>
              <w:fldChar w:fldCharType="end"/>
            </w:r>
          </w:hyperlink>
        </w:p>
        <w:p w14:paraId="78EA3305" w14:textId="269A3C27"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899" w:history="1">
            <w:r w:rsidR="00B0567E" w:rsidRPr="006D2AEA">
              <w:rPr>
                <w:rStyle w:val="Hyperlink"/>
                <w:noProof/>
              </w:rPr>
              <w:t>7.6 Buy Now Pay Later debts can add to financial stress for victim survivors of family violence</w:t>
            </w:r>
            <w:r w:rsidR="00B0567E">
              <w:rPr>
                <w:noProof/>
                <w:webHidden/>
              </w:rPr>
              <w:tab/>
            </w:r>
            <w:r w:rsidR="00B0567E">
              <w:rPr>
                <w:noProof/>
                <w:webHidden/>
              </w:rPr>
              <w:fldChar w:fldCharType="begin"/>
            </w:r>
            <w:r w:rsidR="00B0567E">
              <w:rPr>
                <w:noProof/>
                <w:webHidden/>
              </w:rPr>
              <w:instrText xml:space="preserve"> PAGEREF _Toc131232899 \h </w:instrText>
            </w:r>
            <w:r w:rsidR="00B0567E">
              <w:rPr>
                <w:noProof/>
                <w:webHidden/>
              </w:rPr>
            </w:r>
            <w:r w:rsidR="00B0567E">
              <w:rPr>
                <w:noProof/>
                <w:webHidden/>
              </w:rPr>
              <w:fldChar w:fldCharType="separate"/>
            </w:r>
            <w:r>
              <w:rPr>
                <w:noProof/>
                <w:webHidden/>
              </w:rPr>
              <w:t>45</w:t>
            </w:r>
            <w:r w:rsidR="00B0567E">
              <w:rPr>
                <w:noProof/>
                <w:webHidden/>
              </w:rPr>
              <w:fldChar w:fldCharType="end"/>
            </w:r>
          </w:hyperlink>
        </w:p>
        <w:p w14:paraId="4BB43CFA" w14:textId="287AE678" w:rsidR="00B0567E" w:rsidRDefault="002679F9">
          <w:pPr>
            <w:pStyle w:val="TOC2"/>
            <w:tabs>
              <w:tab w:val="right" w:leader="dot" w:pos="9940"/>
            </w:tabs>
            <w:rPr>
              <w:rFonts w:eastAsiaTheme="minorEastAsia" w:cstheme="minorBidi"/>
              <w:i w:val="0"/>
              <w:iCs w:val="0"/>
              <w:noProof/>
              <w:color w:val="auto"/>
              <w:sz w:val="22"/>
              <w:szCs w:val="22"/>
              <w:lang w:eastAsia="en-AU"/>
            </w:rPr>
          </w:pPr>
          <w:hyperlink w:anchor="_Toc131232900" w:history="1">
            <w:r w:rsidR="00B0567E" w:rsidRPr="006D2AEA">
              <w:rPr>
                <w:rStyle w:val="Hyperlink"/>
                <w:noProof/>
              </w:rPr>
              <w:t>7.7 Credit needs to be available and fair for people on low incomes or experiencing disadvantage</w:t>
            </w:r>
            <w:r w:rsidR="00B0567E">
              <w:rPr>
                <w:noProof/>
                <w:webHidden/>
              </w:rPr>
              <w:tab/>
            </w:r>
            <w:r w:rsidR="00B0567E">
              <w:rPr>
                <w:noProof/>
                <w:webHidden/>
              </w:rPr>
              <w:fldChar w:fldCharType="begin"/>
            </w:r>
            <w:r w:rsidR="00B0567E">
              <w:rPr>
                <w:noProof/>
                <w:webHidden/>
              </w:rPr>
              <w:instrText xml:space="preserve"> PAGEREF _Toc131232900 \h </w:instrText>
            </w:r>
            <w:r w:rsidR="00B0567E">
              <w:rPr>
                <w:noProof/>
                <w:webHidden/>
              </w:rPr>
            </w:r>
            <w:r w:rsidR="00B0567E">
              <w:rPr>
                <w:noProof/>
                <w:webHidden/>
              </w:rPr>
              <w:fldChar w:fldCharType="separate"/>
            </w:r>
            <w:r>
              <w:rPr>
                <w:noProof/>
                <w:webHidden/>
              </w:rPr>
              <w:t>45</w:t>
            </w:r>
            <w:r w:rsidR="00B0567E">
              <w:rPr>
                <w:noProof/>
                <w:webHidden/>
              </w:rPr>
              <w:fldChar w:fldCharType="end"/>
            </w:r>
          </w:hyperlink>
        </w:p>
        <w:p w14:paraId="5C942DE4" w14:textId="258C3E66"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901" w:history="1">
            <w:r w:rsidR="00B0567E" w:rsidRPr="006D2AEA">
              <w:rPr>
                <w:rStyle w:val="Hyperlink"/>
                <w:noProof/>
              </w:rPr>
              <w:t>8. Recommendations</w:t>
            </w:r>
            <w:r w:rsidR="00B0567E">
              <w:rPr>
                <w:noProof/>
                <w:webHidden/>
              </w:rPr>
              <w:tab/>
            </w:r>
            <w:r w:rsidR="00B0567E">
              <w:rPr>
                <w:noProof/>
                <w:webHidden/>
              </w:rPr>
              <w:fldChar w:fldCharType="begin"/>
            </w:r>
            <w:r w:rsidR="00B0567E">
              <w:rPr>
                <w:noProof/>
                <w:webHidden/>
              </w:rPr>
              <w:instrText xml:space="preserve"> PAGEREF _Toc131232901 \h </w:instrText>
            </w:r>
            <w:r w:rsidR="00B0567E">
              <w:rPr>
                <w:noProof/>
                <w:webHidden/>
              </w:rPr>
            </w:r>
            <w:r w:rsidR="00B0567E">
              <w:rPr>
                <w:noProof/>
                <w:webHidden/>
              </w:rPr>
              <w:fldChar w:fldCharType="separate"/>
            </w:r>
            <w:r>
              <w:rPr>
                <w:noProof/>
                <w:webHidden/>
              </w:rPr>
              <w:t>47</w:t>
            </w:r>
            <w:r w:rsidR="00B0567E">
              <w:rPr>
                <w:noProof/>
                <w:webHidden/>
              </w:rPr>
              <w:fldChar w:fldCharType="end"/>
            </w:r>
          </w:hyperlink>
        </w:p>
        <w:p w14:paraId="3BB17352" w14:textId="632BE65A"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902" w:history="1">
            <w:r w:rsidR="00B0567E" w:rsidRPr="006D2AEA">
              <w:rPr>
                <w:rStyle w:val="Hyperlink"/>
                <w:noProof/>
              </w:rPr>
              <w:t>Appendix A: Research Methodology</w:t>
            </w:r>
            <w:r w:rsidR="00B0567E">
              <w:rPr>
                <w:noProof/>
                <w:webHidden/>
              </w:rPr>
              <w:tab/>
            </w:r>
            <w:r w:rsidR="00B0567E">
              <w:rPr>
                <w:noProof/>
                <w:webHidden/>
              </w:rPr>
              <w:fldChar w:fldCharType="begin"/>
            </w:r>
            <w:r w:rsidR="00B0567E">
              <w:rPr>
                <w:noProof/>
                <w:webHidden/>
              </w:rPr>
              <w:instrText xml:space="preserve"> PAGEREF _Toc131232902 \h </w:instrText>
            </w:r>
            <w:r w:rsidR="00B0567E">
              <w:rPr>
                <w:noProof/>
                <w:webHidden/>
              </w:rPr>
            </w:r>
            <w:r w:rsidR="00B0567E">
              <w:rPr>
                <w:noProof/>
                <w:webHidden/>
              </w:rPr>
              <w:fldChar w:fldCharType="separate"/>
            </w:r>
            <w:r>
              <w:rPr>
                <w:noProof/>
                <w:webHidden/>
              </w:rPr>
              <w:t>48</w:t>
            </w:r>
            <w:r w:rsidR="00B0567E">
              <w:rPr>
                <w:noProof/>
                <w:webHidden/>
              </w:rPr>
              <w:fldChar w:fldCharType="end"/>
            </w:r>
          </w:hyperlink>
        </w:p>
        <w:p w14:paraId="21A1F56C" w14:textId="3F0C52CD"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903" w:history="1">
            <w:r w:rsidR="00B0567E" w:rsidRPr="006D2AEA">
              <w:rPr>
                <w:rStyle w:val="Hyperlink"/>
                <w:noProof/>
              </w:rPr>
              <w:t>Appendix B: Survey of Anglicare Tasmania's Financial Counsellors</w:t>
            </w:r>
            <w:r w:rsidR="00B0567E">
              <w:rPr>
                <w:noProof/>
                <w:webHidden/>
              </w:rPr>
              <w:tab/>
            </w:r>
            <w:r w:rsidR="00B0567E">
              <w:rPr>
                <w:noProof/>
                <w:webHidden/>
              </w:rPr>
              <w:fldChar w:fldCharType="begin"/>
            </w:r>
            <w:r w:rsidR="00B0567E">
              <w:rPr>
                <w:noProof/>
                <w:webHidden/>
              </w:rPr>
              <w:instrText xml:space="preserve"> PAGEREF _Toc131232903 \h </w:instrText>
            </w:r>
            <w:r w:rsidR="00B0567E">
              <w:rPr>
                <w:noProof/>
                <w:webHidden/>
              </w:rPr>
            </w:r>
            <w:r w:rsidR="00B0567E">
              <w:rPr>
                <w:noProof/>
                <w:webHidden/>
              </w:rPr>
              <w:fldChar w:fldCharType="separate"/>
            </w:r>
            <w:r>
              <w:rPr>
                <w:noProof/>
                <w:webHidden/>
              </w:rPr>
              <w:t>52</w:t>
            </w:r>
            <w:r w:rsidR="00B0567E">
              <w:rPr>
                <w:noProof/>
                <w:webHidden/>
              </w:rPr>
              <w:fldChar w:fldCharType="end"/>
            </w:r>
          </w:hyperlink>
        </w:p>
        <w:p w14:paraId="5D50E189" w14:textId="3800440C"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904" w:history="1">
            <w:r w:rsidR="00B0567E" w:rsidRPr="006D2AEA">
              <w:rPr>
                <w:rStyle w:val="Hyperlink"/>
                <w:noProof/>
              </w:rPr>
              <w:t>Appendix C: Quantitative Results of Survey of Financial Counsellors</w:t>
            </w:r>
            <w:r w:rsidR="00B0567E">
              <w:rPr>
                <w:noProof/>
                <w:webHidden/>
              </w:rPr>
              <w:tab/>
            </w:r>
            <w:r w:rsidR="00B0567E">
              <w:rPr>
                <w:noProof/>
                <w:webHidden/>
              </w:rPr>
              <w:fldChar w:fldCharType="begin"/>
            </w:r>
            <w:r w:rsidR="00B0567E">
              <w:rPr>
                <w:noProof/>
                <w:webHidden/>
              </w:rPr>
              <w:instrText xml:space="preserve"> PAGEREF _Toc131232904 \h </w:instrText>
            </w:r>
            <w:r w:rsidR="00B0567E">
              <w:rPr>
                <w:noProof/>
                <w:webHidden/>
              </w:rPr>
            </w:r>
            <w:r w:rsidR="00B0567E">
              <w:rPr>
                <w:noProof/>
                <w:webHidden/>
              </w:rPr>
              <w:fldChar w:fldCharType="separate"/>
            </w:r>
            <w:r>
              <w:rPr>
                <w:noProof/>
                <w:webHidden/>
              </w:rPr>
              <w:t>57</w:t>
            </w:r>
            <w:r w:rsidR="00B0567E">
              <w:rPr>
                <w:noProof/>
                <w:webHidden/>
              </w:rPr>
              <w:fldChar w:fldCharType="end"/>
            </w:r>
          </w:hyperlink>
        </w:p>
        <w:p w14:paraId="02E9328B" w14:textId="00DBFA91" w:rsidR="00B0567E" w:rsidRDefault="002679F9">
          <w:pPr>
            <w:pStyle w:val="TOC1"/>
            <w:tabs>
              <w:tab w:val="right" w:leader="dot" w:pos="9940"/>
            </w:tabs>
            <w:rPr>
              <w:rFonts w:eastAsiaTheme="minorEastAsia" w:cstheme="minorBidi"/>
              <w:b w:val="0"/>
              <w:bCs w:val="0"/>
              <w:noProof/>
              <w:color w:val="auto"/>
              <w:sz w:val="22"/>
              <w:szCs w:val="22"/>
              <w:lang w:eastAsia="en-AU"/>
            </w:rPr>
          </w:pPr>
          <w:hyperlink w:anchor="_Toc131232905" w:history="1">
            <w:r w:rsidR="00B0567E" w:rsidRPr="006D2AEA">
              <w:rPr>
                <w:rStyle w:val="Hyperlink"/>
                <w:noProof/>
              </w:rPr>
              <w:t>References</w:t>
            </w:r>
            <w:r w:rsidR="00B0567E">
              <w:rPr>
                <w:noProof/>
                <w:webHidden/>
              </w:rPr>
              <w:tab/>
            </w:r>
            <w:r w:rsidR="00B0567E">
              <w:rPr>
                <w:noProof/>
                <w:webHidden/>
              </w:rPr>
              <w:fldChar w:fldCharType="begin"/>
            </w:r>
            <w:r w:rsidR="00B0567E">
              <w:rPr>
                <w:noProof/>
                <w:webHidden/>
              </w:rPr>
              <w:instrText xml:space="preserve"> PAGEREF _Toc131232905 \h </w:instrText>
            </w:r>
            <w:r w:rsidR="00B0567E">
              <w:rPr>
                <w:noProof/>
                <w:webHidden/>
              </w:rPr>
            </w:r>
            <w:r w:rsidR="00B0567E">
              <w:rPr>
                <w:noProof/>
                <w:webHidden/>
              </w:rPr>
              <w:fldChar w:fldCharType="separate"/>
            </w:r>
            <w:r>
              <w:rPr>
                <w:noProof/>
                <w:webHidden/>
              </w:rPr>
              <w:t>62</w:t>
            </w:r>
            <w:r w:rsidR="00B0567E">
              <w:rPr>
                <w:noProof/>
                <w:webHidden/>
              </w:rPr>
              <w:fldChar w:fldCharType="end"/>
            </w:r>
          </w:hyperlink>
        </w:p>
        <w:p w14:paraId="760D8CDB" w14:textId="4744B5F1" w:rsidR="001702AE" w:rsidRDefault="001702AE" w:rsidP="006B54C7">
          <w:pPr>
            <w:rPr>
              <w:noProof/>
            </w:rPr>
          </w:pPr>
          <w:r>
            <w:rPr>
              <w:rFonts w:asciiTheme="minorHAnsi" w:hAnsiTheme="minorHAnsi" w:cstheme="minorHAnsi"/>
              <w:sz w:val="20"/>
              <w:szCs w:val="20"/>
            </w:rPr>
            <w:fldChar w:fldCharType="end"/>
          </w:r>
        </w:p>
      </w:sdtContent>
    </w:sdt>
    <w:p w14:paraId="00E1B39C" w14:textId="77777777" w:rsidR="001702AE" w:rsidRDefault="001702AE">
      <w:pPr>
        <w:spacing w:before="0" w:after="0"/>
        <w:rPr>
          <w:rFonts w:ascii="Avenir Next Demi Bold" w:eastAsia="AvenirNextLTPro-Demi" w:hAnsi="Avenir Next Demi Bold" w:cs="AvenirNextLTPro-Demi"/>
          <w:b/>
          <w:bCs/>
          <w:color w:val="1598CB"/>
          <w:sz w:val="48"/>
          <w:szCs w:val="48"/>
        </w:rPr>
      </w:pPr>
      <w:r>
        <w:br w:type="page"/>
      </w:r>
    </w:p>
    <w:p w14:paraId="6DB4197F" w14:textId="77777777" w:rsidR="001702AE" w:rsidRPr="00740EB5" w:rsidRDefault="001702AE" w:rsidP="006B54C7">
      <w:pPr>
        <w:pStyle w:val="Heading1"/>
      </w:pPr>
      <w:bookmarkStart w:id="1" w:name="_Toc131232831"/>
      <w:r w:rsidRPr="00B5137A">
        <w:lastRenderedPageBreak/>
        <w:t>About Anglicare Tasmania</w:t>
      </w:r>
      <w:bookmarkEnd w:id="1"/>
    </w:p>
    <w:p w14:paraId="31431553" w14:textId="77777777" w:rsidR="001702AE" w:rsidRPr="00960D3C" w:rsidRDefault="001702AE" w:rsidP="00960D3C">
      <w:pPr>
        <w:pStyle w:val="BodyText"/>
        <w:spacing w:after="240"/>
      </w:pPr>
      <w:r w:rsidRPr="00960D3C">
        <w:t>Anglicare Tasmania is a large community service organisation in Tasmania with offices in Hobart, Glenorchy, Launceston, St Helens, Devonport, Burnie, Sorell and Zeehan, and a range of programs in rural areas. Anglicare Tasmania’s services include crisis, short-term and long-term accommodation support;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14:paraId="7595DDA7" w14:textId="77777777" w:rsidR="001702AE" w:rsidRPr="00960D3C" w:rsidRDefault="001702AE" w:rsidP="00960D3C">
      <w:pPr>
        <w:pStyle w:val="BodyText"/>
        <w:spacing w:after="240"/>
      </w:pPr>
      <w:r w:rsidRPr="00960D3C">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14:paraId="11653AF8" w14:textId="77777777" w:rsidR="001702AE" w:rsidRPr="00960D3C" w:rsidRDefault="001702AE" w:rsidP="00960D3C">
      <w:pPr>
        <w:pStyle w:val="BodyText"/>
      </w:pPr>
      <w:r w:rsidRPr="00960D3C">
        <w:t>Anglicare Tasmania’s work is guided by a set of values which includes these beliefs:</w:t>
      </w:r>
    </w:p>
    <w:p w14:paraId="7393F3C3" w14:textId="77777777" w:rsidR="001702AE" w:rsidRPr="00960D3C" w:rsidRDefault="001702AE" w:rsidP="00960D3C">
      <w:pPr>
        <w:pStyle w:val="Bullets"/>
      </w:pPr>
      <w:r w:rsidRPr="00960D3C">
        <w:t xml:space="preserve">that each person is valuable and deserves to be treated with respect and </w:t>
      </w:r>
      <w:proofErr w:type="gramStart"/>
      <w:r w:rsidRPr="00960D3C">
        <w:t>dignity;</w:t>
      </w:r>
      <w:proofErr w:type="gramEnd"/>
    </w:p>
    <w:p w14:paraId="0DFB7E79" w14:textId="77777777" w:rsidR="001702AE" w:rsidRPr="00960D3C" w:rsidRDefault="001702AE" w:rsidP="00960D3C">
      <w:pPr>
        <w:pStyle w:val="Bullets"/>
      </w:pPr>
      <w:r w:rsidRPr="00960D3C">
        <w:t xml:space="preserve">that each person has the capacity to make and to bear the responsibility for choices and decisions about their </w:t>
      </w:r>
      <w:proofErr w:type="gramStart"/>
      <w:r w:rsidRPr="00960D3C">
        <w:t>life;</w:t>
      </w:r>
      <w:proofErr w:type="gramEnd"/>
    </w:p>
    <w:p w14:paraId="042F9A8A" w14:textId="77777777" w:rsidR="001702AE" w:rsidRPr="00960D3C" w:rsidRDefault="001702AE" w:rsidP="00960D3C">
      <w:pPr>
        <w:pStyle w:val="Bullets"/>
      </w:pPr>
      <w:r w:rsidRPr="00960D3C">
        <w:t>that support should be available to all who need it; and</w:t>
      </w:r>
    </w:p>
    <w:p w14:paraId="3148448D" w14:textId="77777777" w:rsidR="001702AE" w:rsidRPr="00960D3C" w:rsidRDefault="001702AE" w:rsidP="00960D3C">
      <w:pPr>
        <w:pStyle w:val="Bullets"/>
      </w:pPr>
      <w:r w:rsidRPr="00960D3C">
        <w:t>that every person can live life abundantly.</w:t>
      </w:r>
    </w:p>
    <w:p w14:paraId="3C7A9357" w14:textId="119B6389" w:rsidR="001702AE" w:rsidRDefault="001702AE" w:rsidP="006B54C7">
      <w:pPr>
        <w:ind w:left="641" w:hanging="357"/>
      </w:pPr>
    </w:p>
    <w:p w14:paraId="45733A56" w14:textId="7E3315F8" w:rsidR="001702AE" w:rsidRDefault="001702AE" w:rsidP="006B54C7">
      <w:pPr>
        <w:ind w:left="641" w:hanging="357"/>
      </w:pPr>
    </w:p>
    <w:p w14:paraId="7091C4E3" w14:textId="69961722" w:rsidR="001702AE" w:rsidRDefault="001702AE" w:rsidP="006B54C7">
      <w:pPr>
        <w:ind w:left="641" w:hanging="357"/>
      </w:pPr>
    </w:p>
    <w:p w14:paraId="233B3BE4" w14:textId="1D4B3752" w:rsidR="001702AE" w:rsidRDefault="001702AE" w:rsidP="006B54C7">
      <w:pPr>
        <w:ind w:left="641" w:hanging="357"/>
      </w:pPr>
      <w:r>
        <w:rPr>
          <w:noProof/>
        </w:rPr>
        <mc:AlternateContent>
          <mc:Choice Requires="wps">
            <w:drawing>
              <wp:anchor distT="0" distB="0" distL="114300" distR="114300" simplePos="0" relativeHeight="251662336" behindDoc="1" locked="0" layoutInCell="1" allowOverlap="1" wp14:anchorId="7A542B5A" wp14:editId="7CED1937">
                <wp:simplePos x="0" y="0"/>
                <wp:positionH relativeFrom="page">
                  <wp:posOffset>0</wp:posOffset>
                </wp:positionH>
                <wp:positionV relativeFrom="page">
                  <wp:posOffset>6621517</wp:posOffset>
                </wp:positionV>
                <wp:extent cx="7543800" cy="4167834"/>
                <wp:effectExtent l="0" t="0" r="0" b="4445"/>
                <wp:wrapNone/>
                <wp:docPr id="4" name="Rectangle 4"/>
                <wp:cNvGraphicFramePr/>
                <a:graphic xmlns:a="http://schemas.openxmlformats.org/drawingml/2006/main">
                  <a:graphicData uri="http://schemas.microsoft.com/office/word/2010/wordprocessingShape">
                    <wps:wsp>
                      <wps:cNvSpPr/>
                      <wps:spPr>
                        <a:xfrm>
                          <a:off x="0" y="0"/>
                          <a:ext cx="7543800" cy="4167834"/>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676A2D" id="Rectangle 4" o:spid="_x0000_s1026" style="position:absolute;margin-left:0;margin-top:521.4pt;width:594pt;height:328.2pt;z-index:-25165414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" fillcolor="#e6e3d9" stroked="f" strokeweight="1pt">
                <w10:wrap anchorx="page" anchory="page"/>
              </v:rect>
            </w:pict>
          </mc:Fallback>
        </mc:AlternateContent>
      </w:r>
    </w:p>
    <w:p w14:paraId="32756462" w14:textId="77777777" w:rsidR="001702AE" w:rsidRDefault="001702AE" w:rsidP="006B54C7">
      <w:pPr>
        <w:ind w:left="641" w:hanging="357"/>
      </w:pPr>
    </w:p>
    <w:p w14:paraId="5C98D32D" w14:textId="77777777" w:rsidR="001702AE" w:rsidRDefault="001702AE" w:rsidP="006B54C7">
      <w:pPr>
        <w:ind w:left="641" w:hanging="357"/>
      </w:pPr>
    </w:p>
    <w:p w14:paraId="6DEA3B70" w14:textId="77777777" w:rsidR="001702AE" w:rsidRDefault="001702AE" w:rsidP="006B54C7">
      <w:pPr>
        <w:ind w:left="641" w:hanging="357"/>
      </w:pPr>
    </w:p>
    <w:p w14:paraId="4DF72C93" w14:textId="77777777" w:rsidR="001702AE" w:rsidRPr="00DA4D1C" w:rsidRDefault="001702AE" w:rsidP="006B54C7">
      <w:pPr>
        <w:ind w:left="641" w:hanging="357"/>
      </w:pPr>
    </w:p>
    <w:p w14:paraId="1E75EB08" w14:textId="77777777" w:rsidR="001702AE" w:rsidRPr="00740EB5" w:rsidRDefault="001702AE" w:rsidP="006B54C7">
      <w:pPr>
        <w:pStyle w:val="IntenseQuote"/>
        <w:rPr>
          <w:rStyle w:val="Emphasis"/>
        </w:rPr>
      </w:pPr>
      <w:r w:rsidRPr="00740EB5">
        <w:rPr>
          <w:rStyle w:val="Emphasis"/>
        </w:rPr>
        <w:t xml:space="preserve">Anglicare Tasmania acknowledges the Tasmanian Aboriginal community as the traditional and original owners and continuing custodians of this land </w:t>
      </w:r>
      <w:proofErr w:type="spellStart"/>
      <w:r w:rsidRPr="00740EB5">
        <w:rPr>
          <w:rStyle w:val="Emphasis"/>
        </w:rPr>
        <w:t>lutruwita</w:t>
      </w:r>
      <w:proofErr w:type="spellEnd"/>
      <w:r w:rsidRPr="00740EB5">
        <w:rPr>
          <w:rStyle w:val="Emphasis"/>
        </w:rPr>
        <w:t>.</w:t>
      </w:r>
      <w:r>
        <w:rPr>
          <w:rStyle w:val="Emphasis"/>
        </w:rPr>
        <w:t xml:space="preserve">  </w:t>
      </w:r>
      <w:r w:rsidRPr="00740EB5">
        <w:rPr>
          <w:rStyle w:val="Emphasis"/>
        </w:rPr>
        <w:t xml:space="preserve"> We pay respect to Elders past and present.</w:t>
      </w:r>
    </w:p>
    <w:p w14:paraId="2CC64D67" w14:textId="77777777" w:rsidR="001702AE" w:rsidRDefault="001702AE">
      <w:pPr>
        <w:sectPr w:rsidR="001702AE" w:rsidSect="006B54C7">
          <w:pgSz w:w="11910" w:h="16840"/>
          <w:pgMar w:top="1920" w:right="1000" w:bottom="0" w:left="960" w:header="720" w:footer="720" w:gutter="0"/>
          <w:cols w:space="720"/>
          <w:titlePg/>
        </w:sectPr>
      </w:pPr>
    </w:p>
    <w:p w14:paraId="4E94246F" w14:textId="77777777" w:rsidR="001702AE" w:rsidRPr="00740EB5" w:rsidRDefault="001702AE" w:rsidP="006B54C7">
      <w:pPr>
        <w:pStyle w:val="Heading1"/>
      </w:pPr>
      <w:bookmarkStart w:id="2" w:name="_Toc130396308"/>
      <w:bookmarkStart w:id="3" w:name="_Toc131232832"/>
      <w:r w:rsidRPr="00740EB5">
        <w:lastRenderedPageBreak/>
        <w:t>G</w:t>
      </w:r>
      <w:bookmarkEnd w:id="2"/>
      <w:r w:rsidRPr="00740EB5">
        <w:t>lossary</w:t>
      </w:r>
      <w:bookmarkEnd w:id="3"/>
    </w:p>
    <w:tbl>
      <w:tblPr>
        <w:tblStyle w:val="PlainTable2"/>
        <w:tblW w:w="9781" w:type="dxa"/>
        <w:tblLook w:val="0480" w:firstRow="0" w:lastRow="0" w:firstColumn="1" w:lastColumn="0" w:noHBand="0" w:noVBand="1"/>
      </w:tblPr>
      <w:tblGrid>
        <w:gridCol w:w="2499"/>
        <w:gridCol w:w="236"/>
        <w:gridCol w:w="7046"/>
      </w:tblGrid>
      <w:tr w:rsidR="001702AE" w14:paraId="39381FB9"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dxa"/>
          </w:tcPr>
          <w:p w14:paraId="2446A31F" w14:textId="77777777" w:rsidR="001702AE" w:rsidRPr="00740EB5" w:rsidRDefault="001702AE" w:rsidP="006B54C7">
            <w:pPr>
              <w:pStyle w:val="TitleinText"/>
            </w:pPr>
            <w:r w:rsidRPr="00740EB5">
              <w:t>Buy Now Pay Later</w:t>
            </w:r>
            <w:r>
              <w:t xml:space="preserve"> (BNPL)</w:t>
            </w:r>
          </w:p>
        </w:tc>
        <w:tc>
          <w:tcPr>
            <w:tcW w:w="236" w:type="dxa"/>
          </w:tcPr>
          <w:p w14:paraId="44ECAC36" w14:textId="77777777" w:rsidR="001702AE" w:rsidRDefault="001702AE" w:rsidP="006B54C7">
            <w:pPr>
              <w:spacing w:after="240"/>
              <w:cnfStyle w:val="000000100000" w:firstRow="0" w:lastRow="0" w:firstColumn="0" w:lastColumn="0" w:oddVBand="0" w:evenVBand="0" w:oddHBand="1" w:evenHBand="0" w:firstRowFirstColumn="0" w:firstRowLastColumn="0" w:lastRowFirstColumn="0" w:lastRowLastColumn="0"/>
            </w:pPr>
          </w:p>
        </w:tc>
        <w:tc>
          <w:tcPr>
            <w:tcW w:w="7046" w:type="dxa"/>
          </w:tcPr>
          <w:p w14:paraId="46976630" w14:textId="2E1D9F6E" w:rsidR="001702AE" w:rsidRPr="007B1BBF" w:rsidRDefault="001702AE" w:rsidP="00960D3C">
            <w:pPr>
              <w:pStyle w:val="TableParagraph"/>
              <w:cnfStyle w:val="000000100000" w:firstRow="0" w:lastRow="0" w:firstColumn="0" w:lastColumn="0" w:oddVBand="0" w:evenVBand="0" w:oddHBand="1" w:evenHBand="0" w:firstRowFirstColumn="0" w:firstRowLastColumn="0" w:lastRowFirstColumn="0" w:lastRowLastColumn="0"/>
              <w:rPr>
                <w:sz w:val="22"/>
              </w:rPr>
            </w:pPr>
            <w:r w:rsidRPr="007B1BBF">
              <w:rPr>
                <w:sz w:val="22"/>
              </w:rPr>
              <w:t>A product which offers finance to consumers at the point of sale and collects repayments by means of scheduled electronic deductions from their bank accounts (see Box 2).</w:t>
            </w:r>
          </w:p>
        </w:tc>
      </w:tr>
      <w:tr w:rsidR="001702AE" w14:paraId="17B4DC8D" w14:textId="77777777" w:rsidTr="006B54C7">
        <w:tc>
          <w:tcPr>
            <w:cnfStyle w:val="001000000000" w:firstRow="0" w:lastRow="0" w:firstColumn="1" w:lastColumn="0" w:oddVBand="0" w:evenVBand="0" w:oddHBand="0" w:evenHBand="0" w:firstRowFirstColumn="0" w:firstRowLastColumn="0" w:lastRowFirstColumn="0" w:lastRowLastColumn="0"/>
            <w:tcW w:w="2499" w:type="dxa"/>
          </w:tcPr>
          <w:p w14:paraId="3925BF58" w14:textId="77777777" w:rsidR="001702AE" w:rsidRPr="00740EB5" w:rsidRDefault="001702AE" w:rsidP="006B54C7">
            <w:pPr>
              <w:pStyle w:val="TitleinText"/>
            </w:pPr>
            <w:r>
              <w:t>Family violence</w:t>
            </w:r>
          </w:p>
        </w:tc>
        <w:tc>
          <w:tcPr>
            <w:tcW w:w="236" w:type="dxa"/>
          </w:tcPr>
          <w:p w14:paraId="782A6337" w14:textId="77777777" w:rsidR="001702AE" w:rsidRDefault="001702AE" w:rsidP="006B54C7">
            <w:pPr>
              <w:spacing w:after="240"/>
              <w:cnfStyle w:val="000000000000" w:firstRow="0" w:lastRow="0" w:firstColumn="0" w:lastColumn="0" w:oddVBand="0" w:evenVBand="0" w:oddHBand="0" w:evenHBand="0" w:firstRowFirstColumn="0" w:firstRowLastColumn="0" w:lastRowFirstColumn="0" w:lastRowLastColumn="0"/>
            </w:pPr>
          </w:p>
        </w:tc>
        <w:tc>
          <w:tcPr>
            <w:tcW w:w="7046" w:type="dxa"/>
          </w:tcPr>
          <w:p w14:paraId="0D2D236E" w14:textId="77777777" w:rsidR="001702AE" w:rsidRPr="007B1BBF" w:rsidRDefault="001702AE" w:rsidP="00960D3C">
            <w:pPr>
              <w:pStyle w:val="TableParagraph"/>
              <w:cnfStyle w:val="000000000000" w:firstRow="0" w:lastRow="0" w:firstColumn="0" w:lastColumn="0" w:oddVBand="0" w:evenVBand="0" w:oddHBand="0" w:evenHBand="0" w:firstRowFirstColumn="0" w:firstRowLastColumn="0" w:lastRowFirstColumn="0" w:lastRowLastColumn="0"/>
              <w:rPr>
                <w:sz w:val="22"/>
              </w:rPr>
            </w:pPr>
            <w:r w:rsidRPr="007B1BBF">
              <w:rPr>
                <w:sz w:val="22"/>
              </w:rPr>
              <w:t>For this research</w:t>
            </w:r>
            <w:r>
              <w:rPr>
                <w:sz w:val="22"/>
              </w:rPr>
              <w:t>,</w:t>
            </w:r>
            <w:r w:rsidRPr="007B1BBF">
              <w:rPr>
                <w:sz w:val="22"/>
              </w:rPr>
              <w:t xml:space="preserve"> family violence is defined broadly to include violence, abuse or controlling behaviour </w:t>
            </w:r>
            <w:r w:rsidRPr="007B1BBF">
              <w:rPr>
                <w:iCs/>
                <w:sz w:val="22"/>
              </w:rPr>
              <w:t>by a family member or immediate relative (</w:t>
            </w:r>
            <w:proofErr w:type="gramStart"/>
            <w:r w:rsidRPr="007B1BBF">
              <w:rPr>
                <w:iCs/>
                <w:sz w:val="22"/>
              </w:rPr>
              <w:t>e.g.</w:t>
            </w:r>
            <w:proofErr w:type="gramEnd"/>
            <w:r w:rsidRPr="007B1BBF">
              <w:rPr>
                <w:iCs/>
                <w:sz w:val="22"/>
              </w:rPr>
              <w:t xml:space="preserve"> an adult child against their parent, a parent against their adult child, or between siblings)</w:t>
            </w:r>
            <w:r w:rsidRPr="007B1BBF">
              <w:rPr>
                <w:sz w:val="22"/>
              </w:rPr>
              <w:t>, as well as by a current or former intimate partner.</w:t>
            </w:r>
          </w:p>
        </w:tc>
      </w:tr>
      <w:tr w:rsidR="001702AE" w14:paraId="5ECC736D"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dxa"/>
          </w:tcPr>
          <w:p w14:paraId="107DB96F" w14:textId="77777777" w:rsidR="001702AE" w:rsidRDefault="001702AE" w:rsidP="006B54C7">
            <w:pPr>
              <w:pStyle w:val="TitleinText"/>
            </w:pPr>
            <w:r>
              <w:t>Financial abuse</w:t>
            </w:r>
          </w:p>
        </w:tc>
        <w:tc>
          <w:tcPr>
            <w:tcW w:w="236" w:type="dxa"/>
          </w:tcPr>
          <w:p w14:paraId="423F913E" w14:textId="77777777" w:rsidR="001702AE" w:rsidRPr="000966E4" w:rsidRDefault="001702AE" w:rsidP="006B54C7">
            <w:pPr>
              <w:spacing w:after="240"/>
              <w:cnfStyle w:val="000000100000" w:firstRow="0" w:lastRow="0" w:firstColumn="0" w:lastColumn="0" w:oddVBand="0" w:evenVBand="0" w:oddHBand="1" w:evenHBand="0" w:firstRowFirstColumn="0" w:firstRowLastColumn="0" w:lastRowFirstColumn="0" w:lastRowLastColumn="0"/>
              <w:rPr>
                <w:sz w:val="22"/>
              </w:rPr>
            </w:pPr>
          </w:p>
        </w:tc>
        <w:tc>
          <w:tcPr>
            <w:tcW w:w="7046" w:type="dxa"/>
          </w:tcPr>
          <w:p w14:paraId="1BB3E106" w14:textId="77777777" w:rsidR="001702AE" w:rsidRPr="000966E4" w:rsidRDefault="001702AE" w:rsidP="00960D3C">
            <w:pPr>
              <w:pStyle w:val="TableParagraph"/>
              <w:cnfStyle w:val="000000100000" w:firstRow="0" w:lastRow="0" w:firstColumn="0" w:lastColumn="0" w:oddVBand="0" w:evenVBand="0" w:oddHBand="1" w:evenHBand="0" w:firstRowFirstColumn="0" w:firstRowLastColumn="0" w:lastRowFirstColumn="0" w:lastRowLastColumn="0"/>
              <w:rPr>
                <w:sz w:val="22"/>
              </w:rPr>
            </w:pPr>
            <w:r w:rsidRPr="000966E4">
              <w:rPr>
                <w:sz w:val="22"/>
              </w:rPr>
              <w:t>Financial abuse (or economic abuse) is a form of family violence</w:t>
            </w:r>
            <w:r>
              <w:rPr>
                <w:sz w:val="22"/>
              </w:rPr>
              <w:t>. It</w:t>
            </w:r>
            <w:r w:rsidRPr="000966E4">
              <w:rPr>
                <w:sz w:val="22"/>
              </w:rPr>
              <w:t xml:space="preserve"> may include withholding money, controlling household spending</w:t>
            </w:r>
            <w:r>
              <w:rPr>
                <w:sz w:val="22"/>
              </w:rPr>
              <w:t>,</w:t>
            </w:r>
            <w:r w:rsidRPr="000966E4">
              <w:rPr>
                <w:sz w:val="22"/>
              </w:rPr>
              <w:t xml:space="preserve"> refusing to include someone in financial decisions</w:t>
            </w:r>
            <w:r>
              <w:rPr>
                <w:sz w:val="22"/>
              </w:rPr>
              <w:t xml:space="preserve"> or coercing someone into taking out debts</w:t>
            </w:r>
            <w:r w:rsidRPr="000966E4">
              <w:rPr>
                <w:sz w:val="22"/>
              </w:rPr>
              <w:t xml:space="preserve">. Financial abuse can be present with other forms of abuse, like physical or emotional abuse, but can also occur without these behaviours </w:t>
            </w:r>
            <w:r>
              <w:rPr>
                <w:noProof/>
                <w:sz w:val="22"/>
              </w:rPr>
              <w:t>(WIRE n.d.)</w:t>
            </w:r>
            <w:r w:rsidRPr="000966E4">
              <w:rPr>
                <w:sz w:val="22"/>
              </w:rPr>
              <w:t>.</w:t>
            </w:r>
          </w:p>
        </w:tc>
      </w:tr>
      <w:tr w:rsidR="001702AE" w:rsidRPr="007B1BBF" w14:paraId="1647B38D" w14:textId="77777777" w:rsidTr="006B54C7">
        <w:tc>
          <w:tcPr>
            <w:cnfStyle w:val="001000000000" w:firstRow="0" w:lastRow="0" w:firstColumn="1" w:lastColumn="0" w:oddVBand="0" w:evenVBand="0" w:oddHBand="0" w:evenHBand="0" w:firstRowFirstColumn="0" w:firstRowLastColumn="0" w:lastRowFirstColumn="0" w:lastRowLastColumn="0"/>
            <w:tcW w:w="2499" w:type="dxa"/>
          </w:tcPr>
          <w:p w14:paraId="64750B0A" w14:textId="77777777" w:rsidR="001702AE" w:rsidRPr="00740EB5" w:rsidRDefault="001702AE" w:rsidP="006B54C7">
            <w:pPr>
              <w:pStyle w:val="TitleinText"/>
            </w:pPr>
            <w:r w:rsidRPr="00740EB5">
              <w:t>Financial counselling</w:t>
            </w:r>
          </w:p>
        </w:tc>
        <w:tc>
          <w:tcPr>
            <w:tcW w:w="236" w:type="dxa"/>
          </w:tcPr>
          <w:p w14:paraId="793574CB" w14:textId="77777777" w:rsidR="001702AE" w:rsidRDefault="001702AE" w:rsidP="006B54C7">
            <w:pPr>
              <w:spacing w:after="240"/>
              <w:cnfStyle w:val="000000000000" w:firstRow="0" w:lastRow="0" w:firstColumn="0" w:lastColumn="0" w:oddVBand="0" w:evenVBand="0" w:oddHBand="0" w:evenHBand="0" w:firstRowFirstColumn="0" w:firstRowLastColumn="0" w:lastRowFirstColumn="0" w:lastRowLastColumn="0"/>
            </w:pPr>
          </w:p>
        </w:tc>
        <w:tc>
          <w:tcPr>
            <w:tcW w:w="7046" w:type="dxa"/>
          </w:tcPr>
          <w:p w14:paraId="12CE7ABF" w14:textId="77777777" w:rsidR="001702AE" w:rsidRPr="007B1BBF" w:rsidRDefault="001702AE" w:rsidP="00960D3C">
            <w:pPr>
              <w:pStyle w:val="TableParagraph"/>
              <w:cnfStyle w:val="000000000000" w:firstRow="0" w:lastRow="0" w:firstColumn="0" w:lastColumn="0" w:oddVBand="0" w:evenVBand="0" w:oddHBand="0" w:evenHBand="0" w:firstRowFirstColumn="0" w:firstRowLastColumn="0" w:lastRowFirstColumn="0" w:lastRowLastColumn="0"/>
              <w:rPr>
                <w:sz w:val="22"/>
              </w:rPr>
            </w:pPr>
            <w:r w:rsidRPr="007B1BBF">
              <w:rPr>
                <w:sz w:val="22"/>
              </w:rPr>
              <w:t>The Australian term for free, charitable or government-funded interventions for people facing financial difficulties, including</w:t>
            </w:r>
            <w:r>
              <w:rPr>
                <w:sz w:val="22"/>
              </w:rPr>
              <w:t xml:space="preserve"> </w:t>
            </w:r>
            <w:r w:rsidRPr="007B1BBF">
              <w:rPr>
                <w:sz w:val="22"/>
              </w:rPr>
              <w:t>support with budgeting or debt issues.</w:t>
            </w:r>
          </w:p>
        </w:tc>
      </w:tr>
      <w:tr w:rsidR="001702AE" w14:paraId="796BB672"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dxa"/>
          </w:tcPr>
          <w:p w14:paraId="57BFEA9C" w14:textId="77777777" w:rsidR="001702AE" w:rsidRPr="00740EB5" w:rsidRDefault="001702AE" w:rsidP="006B54C7">
            <w:pPr>
              <w:pStyle w:val="TitleinText"/>
            </w:pPr>
            <w:r w:rsidRPr="00740EB5">
              <w:t>Financial Counsellors</w:t>
            </w:r>
          </w:p>
        </w:tc>
        <w:tc>
          <w:tcPr>
            <w:tcW w:w="236" w:type="dxa"/>
          </w:tcPr>
          <w:p w14:paraId="789839F6" w14:textId="77777777" w:rsidR="001702AE" w:rsidRDefault="001702AE" w:rsidP="006B54C7">
            <w:pPr>
              <w:spacing w:after="240"/>
              <w:cnfStyle w:val="000000100000" w:firstRow="0" w:lastRow="0" w:firstColumn="0" w:lastColumn="0" w:oddVBand="0" w:evenVBand="0" w:oddHBand="1" w:evenHBand="0" w:firstRowFirstColumn="0" w:firstRowLastColumn="0" w:lastRowFirstColumn="0" w:lastRowLastColumn="0"/>
            </w:pPr>
          </w:p>
        </w:tc>
        <w:tc>
          <w:tcPr>
            <w:tcW w:w="7046" w:type="dxa"/>
          </w:tcPr>
          <w:p w14:paraId="02F483AA" w14:textId="77777777" w:rsidR="001702AE" w:rsidRPr="00F91EFB" w:rsidRDefault="001702AE" w:rsidP="00960D3C">
            <w:pPr>
              <w:pStyle w:val="TableParagraph"/>
              <w:cnfStyle w:val="000000100000" w:firstRow="0" w:lastRow="0" w:firstColumn="0" w:lastColumn="0" w:oddVBand="0" w:evenVBand="0" w:oddHBand="1" w:evenHBand="0" w:firstRowFirstColumn="0" w:firstRowLastColumn="0" w:lastRowFirstColumn="0" w:lastRowLastColumn="0"/>
            </w:pPr>
            <w:r w:rsidRPr="007B1BBF">
              <w:rPr>
                <w:sz w:val="22"/>
              </w:rPr>
              <w:t>For this research</w:t>
            </w:r>
            <w:r>
              <w:rPr>
                <w:sz w:val="22"/>
              </w:rPr>
              <w:t>,</w:t>
            </w:r>
            <w:r w:rsidRPr="007B1BBF">
              <w:rPr>
                <w:sz w:val="22"/>
              </w:rPr>
              <w:t xml:space="preserve"> staff of Anglicare Tasmania who deliver financial counselling services.</w:t>
            </w:r>
          </w:p>
        </w:tc>
      </w:tr>
      <w:tr w:rsidR="001702AE" w14:paraId="4BE0421C" w14:textId="77777777" w:rsidTr="006B54C7">
        <w:tc>
          <w:tcPr>
            <w:cnfStyle w:val="001000000000" w:firstRow="0" w:lastRow="0" w:firstColumn="1" w:lastColumn="0" w:oddVBand="0" w:evenVBand="0" w:oddHBand="0" w:evenHBand="0" w:firstRowFirstColumn="0" w:firstRowLastColumn="0" w:lastRowFirstColumn="0" w:lastRowLastColumn="0"/>
            <w:tcW w:w="2499" w:type="dxa"/>
          </w:tcPr>
          <w:p w14:paraId="34431B45" w14:textId="77777777" w:rsidR="001702AE" w:rsidRPr="00740EB5" w:rsidRDefault="001702AE" w:rsidP="006B54C7">
            <w:pPr>
              <w:pStyle w:val="TitleinText"/>
            </w:pPr>
            <w:r>
              <w:t>Financial stress</w:t>
            </w:r>
          </w:p>
        </w:tc>
        <w:tc>
          <w:tcPr>
            <w:tcW w:w="236" w:type="dxa"/>
          </w:tcPr>
          <w:p w14:paraId="0D79E72F" w14:textId="77777777" w:rsidR="001702AE" w:rsidRDefault="001702AE" w:rsidP="006B54C7">
            <w:pPr>
              <w:spacing w:after="240"/>
              <w:cnfStyle w:val="000000000000" w:firstRow="0" w:lastRow="0" w:firstColumn="0" w:lastColumn="0" w:oddVBand="0" w:evenVBand="0" w:oddHBand="0" w:evenHBand="0" w:firstRowFirstColumn="0" w:firstRowLastColumn="0" w:lastRowFirstColumn="0" w:lastRowLastColumn="0"/>
            </w:pPr>
          </w:p>
        </w:tc>
        <w:tc>
          <w:tcPr>
            <w:tcW w:w="7046" w:type="dxa"/>
          </w:tcPr>
          <w:p w14:paraId="18A6A3A2" w14:textId="77777777" w:rsidR="001702AE" w:rsidRPr="001E135F" w:rsidRDefault="001702AE" w:rsidP="00960D3C">
            <w:pPr>
              <w:pStyle w:val="TableParagraph"/>
              <w:cnfStyle w:val="000000000000" w:firstRow="0" w:lastRow="0" w:firstColumn="0" w:lastColumn="0" w:oddVBand="0" w:evenVBand="0" w:oddHBand="0" w:evenHBand="0" w:firstRowFirstColumn="0" w:firstRowLastColumn="0" w:lastRowFirstColumn="0" w:lastRowLastColumn="0"/>
              <w:rPr>
                <w:sz w:val="22"/>
              </w:rPr>
            </w:pPr>
            <w:r w:rsidRPr="001E135F">
              <w:rPr>
                <w:sz w:val="22"/>
              </w:rPr>
              <w:t xml:space="preserve">“An inability to pay regular bills or to meet basic needs”, also characterised by </w:t>
            </w:r>
            <w:r>
              <w:rPr>
                <w:sz w:val="22"/>
              </w:rPr>
              <w:t xml:space="preserve">feelings of </w:t>
            </w:r>
            <w:r w:rsidRPr="001E135F">
              <w:rPr>
                <w:sz w:val="22"/>
              </w:rPr>
              <w:t xml:space="preserve">worry or stress </w:t>
            </w:r>
            <w:r>
              <w:rPr>
                <w:noProof/>
                <w:sz w:val="22"/>
              </w:rPr>
              <w:t>(Botha et al. 2022)</w:t>
            </w:r>
            <w:r w:rsidRPr="001E135F">
              <w:rPr>
                <w:sz w:val="22"/>
              </w:rPr>
              <w:t>.</w:t>
            </w:r>
          </w:p>
        </w:tc>
      </w:tr>
      <w:tr w:rsidR="001702AE" w14:paraId="4774B2CD"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dxa"/>
          </w:tcPr>
          <w:p w14:paraId="75551837" w14:textId="77777777" w:rsidR="001702AE" w:rsidRPr="00740EB5" w:rsidRDefault="001702AE" w:rsidP="006B54C7">
            <w:pPr>
              <w:pStyle w:val="TitleinText"/>
            </w:pPr>
            <w:r w:rsidRPr="00740EB5">
              <w:t>Fintech</w:t>
            </w:r>
            <w:r w:rsidRPr="00740EB5">
              <w:tab/>
            </w:r>
          </w:p>
        </w:tc>
        <w:tc>
          <w:tcPr>
            <w:tcW w:w="236" w:type="dxa"/>
          </w:tcPr>
          <w:p w14:paraId="5C8EF356" w14:textId="77777777" w:rsidR="001702AE" w:rsidRPr="00325099" w:rsidRDefault="001702AE" w:rsidP="006B54C7">
            <w:pPr>
              <w:spacing w:after="240"/>
              <w:cnfStyle w:val="000000100000" w:firstRow="0" w:lastRow="0" w:firstColumn="0" w:lastColumn="0" w:oddVBand="0" w:evenVBand="0" w:oddHBand="1" w:evenHBand="0" w:firstRowFirstColumn="0" w:firstRowLastColumn="0" w:lastRowFirstColumn="0" w:lastRowLastColumn="0"/>
              <w:rPr>
                <w:rFonts w:eastAsia="Times New Roman" w:cstheme="minorHAnsi"/>
                <w:color w:val="202124"/>
                <w:szCs w:val="24"/>
                <w:lang w:eastAsia="en-AU"/>
              </w:rPr>
            </w:pPr>
          </w:p>
        </w:tc>
        <w:tc>
          <w:tcPr>
            <w:tcW w:w="7046" w:type="dxa"/>
          </w:tcPr>
          <w:p w14:paraId="7319FFBC" w14:textId="77777777" w:rsidR="001702AE" w:rsidRPr="00F91EFB" w:rsidRDefault="001702AE" w:rsidP="00960D3C">
            <w:pPr>
              <w:cnfStyle w:val="000000100000" w:firstRow="0" w:lastRow="0" w:firstColumn="0" w:lastColumn="0" w:oddVBand="0" w:evenVBand="0" w:oddHBand="1" w:evenHBand="0" w:firstRowFirstColumn="0" w:firstRowLastColumn="0" w:lastRowFirstColumn="0" w:lastRowLastColumn="0"/>
            </w:pPr>
            <w:r w:rsidRPr="007B1BBF">
              <w:rPr>
                <w:sz w:val="22"/>
                <w:lang w:eastAsia="en-AU"/>
              </w:rPr>
              <w:t xml:space="preserve">Computer software and other technology </w:t>
            </w:r>
            <w:proofErr w:type="gramStart"/>
            <w:r w:rsidRPr="007B1BBF">
              <w:rPr>
                <w:sz w:val="22"/>
                <w:lang w:eastAsia="en-AU"/>
              </w:rPr>
              <w:t>used</w:t>
            </w:r>
            <w:proofErr w:type="gramEnd"/>
            <w:r w:rsidRPr="007B1BBF">
              <w:rPr>
                <w:sz w:val="22"/>
                <w:lang w:eastAsia="en-AU"/>
              </w:rPr>
              <w:t xml:space="preserve"> to enable banking and financial services.</w:t>
            </w:r>
            <w:r>
              <w:rPr>
                <w:sz w:val="22"/>
                <w:lang w:eastAsia="en-AU"/>
              </w:rPr>
              <w:t xml:space="preserve"> A portmanteau of ‘financial’ and ‘technology’.</w:t>
            </w:r>
            <w:r w:rsidRPr="007B1BBF">
              <w:rPr>
                <w:b/>
                <w:color w:val="2F5496" w:themeColor="accent1" w:themeShade="BF"/>
              </w:rPr>
              <w:tab/>
            </w:r>
          </w:p>
        </w:tc>
      </w:tr>
      <w:tr w:rsidR="001702AE" w14:paraId="3B8BFFE0" w14:textId="77777777" w:rsidTr="006B54C7">
        <w:trPr>
          <w:trHeight w:val="198"/>
        </w:trPr>
        <w:tc>
          <w:tcPr>
            <w:cnfStyle w:val="001000000000" w:firstRow="0" w:lastRow="0" w:firstColumn="1" w:lastColumn="0" w:oddVBand="0" w:evenVBand="0" w:oddHBand="0" w:evenHBand="0" w:firstRowFirstColumn="0" w:firstRowLastColumn="0" w:lastRowFirstColumn="0" w:lastRowLastColumn="0"/>
            <w:tcW w:w="2499" w:type="dxa"/>
          </w:tcPr>
          <w:p w14:paraId="62FC44B4" w14:textId="77777777" w:rsidR="001702AE" w:rsidRPr="00740EB5" w:rsidRDefault="001702AE" w:rsidP="006B54C7">
            <w:pPr>
              <w:pStyle w:val="TitleinText"/>
            </w:pPr>
            <w:r w:rsidRPr="00740EB5">
              <w:t>Frictionless</w:t>
            </w:r>
          </w:p>
        </w:tc>
        <w:tc>
          <w:tcPr>
            <w:tcW w:w="236" w:type="dxa"/>
          </w:tcPr>
          <w:p w14:paraId="02E48C41" w14:textId="77777777" w:rsidR="001702AE" w:rsidRDefault="001702AE" w:rsidP="006B54C7">
            <w:pPr>
              <w:widowControl/>
              <w:numPr>
                <w:ilvl w:val="0"/>
                <w:numId w:val="2"/>
              </w:numPr>
              <w:shd w:val="clear" w:color="auto" w:fill="FFFFFF"/>
              <w:autoSpaceDE/>
              <w:autoSpaceDN/>
              <w:spacing w:after="240"/>
              <w:ind w:left="0"/>
              <w:cnfStyle w:val="000000000000" w:firstRow="0" w:lastRow="0" w:firstColumn="0" w:lastColumn="0" w:oddVBand="0" w:evenVBand="0" w:oddHBand="0" w:evenHBand="0" w:firstRowFirstColumn="0" w:firstRowLastColumn="0" w:lastRowFirstColumn="0" w:lastRowLastColumn="0"/>
            </w:pPr>
          </w:p>
        </w:tc>
        <w:tc>
          <w:tcPr>
            <w:tcW w:w="7046" w:type="dxa"/>
          </w:tcPr>
          <w:p w14:paraId="14E54B72" w14:textId="77777777" w:rsidR="001702AE" w:rsidRPr="00F91EFB" w:rsidRDefault="001702AE" w:rsidP="00960D3C">
            <w:pPr>
              <w:pStyle w:val="TableParagrap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7B1BBF">
              <w:rPr>
                <w:sz w:val="22"/>
              </w:rPr>
              <w:t xml:space="preserve">A smooth, quick and easy customer experience, </w:t>
            </w:r>
            <w:proofErr w:type="gramStart"/>
            <w:r w:rsidRPr="007B1BBF">
              <w:rPr>
                <w:sz w:val="22"/>
              </w:rPr>
              <w:t>e.g.</w:t>
            </w:r>
            <w:proofErr w:type="gramEnd"/>
            <w:r w:rsidRPr="007B1BBF">
              <w:rPr>
                <w:sz w:val="22"/>
              </w:rPr>
              <w:t xml:space="preserve"> when using financial software to pay for online purchases.</w:t>
            </w:r>
          </w:p>
        </w:tc>
      </w:tr>
      <w:tr w:rsidR="001702AE" w14:paraId="44E70273"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dxa"/>
          </w:tcPr>
          <w:p w14:paraId="04E40C58" w14:textId="77777777" w:rsidR="001702AE" w:rsidRPr="00740EB5" w:rsidRDefault="001702AE" w:rsidP="006B54C7">
            <w:pPr>
              <w:pStyle w:val="TitleinText"/>
            </w:pPr>
            <w:r w:rsidRPr="00740EB5">
              <w:br w:type="page"/>
              <w:t>Gambling harm</w:t>
            </w:r>
          </w:p>
          <w:p w14:paraId="3BBA48E3" w14:textId="77777777" w:rsidR="001702AE" w:rsidRPr="00740EB5" w:rsidRDefault="001702AE" w:rsidP="006B54C7">
            <w:pPr>
              <w:pStyle w:val="TitleinText"/>
            </w:pPr>
          </w:p>
        </w:tc>
        <w:tc>
          <w:tcPr>
            <w:tcW w:w="236" w:type="dxa"/>
          </w:tcPr>
          <w:p w14:paraId="748AF9CA" w14:textId="77777777" w:rsidR="001702AE" w:rsidRPr="00F91EFB" w:rsidRDefault="001702AE" w:rsidP="006B54C7">
            <w:pPr>
              <w:cnfStyle w:val="000000100000" w:firstRow="0" w:lastRow="0" w:firstColumn="0" w:lastColumn="0" w:oddVBand="0" w:evenVBand="0" w:oddHBand="1" w:evenHBand="0" w:firstRowFirstColumn="0" w:firstRowLastColumn="0" w:lastRowFirstColumn="0" w:lastRowLastColumn="0"/>
              <w:rPr>
                <w:rFonts w:cstheme="minorHAnsi"/>
                <w:color w:val="332C28"/>
                <w:shd w:val="clear" w:color="auto" w:fill="FFFFFF"/>
              </w:rPr>
            </w:pPr>
          </w:p>
        </w:tc>
        <w:tc>
          <w:tcPr>
            <w:tcW w:w="7046" w:type="dxa"/>
          </w:tcPr>
          <w:p w14:paraId="129DA59C" w14:textId="77777777" w:rsidR="001702AE" w:rsidRPr="00F91EFB" w:rsidRDefault="001702AE" w:rsidP="00960D3C">
            <w:pPr>
              <w:pStyle w:val="TableParagraph"/>
              <w:cnfStyle w:val="000000100000" w:firstRow="0" w:lastRow="0" w:firstColumn="0" w:lastColumn="0" w:oddVBand="0" w:evenVBand="0" w:oddHBand="1" w:evenHBand="0" w:firstRowFirstColumn="0" w:firstRowLastColumn="0" w:lastRowFirstColumn="0" w:lastRowLastColumn="0"/>
            </w:pPr>
            <w:r w:rsidRPr="007B1BBF">
              <w:rPr>
                <w:rFonts w:cstheme="minorHAnsi"/>
                <w:sz w:val="22"/>
                <w:shd w:val="clear" w:color="auto" w:fill="FFFFFF"/>
              </w:rPr>
              <w:t>Defined as “any negative consequence experienced by an individual or members of their social network because of participation in gambling”</w:t>
            </w:r>
            <w:r w:rsidRPr="007B1BBF">
              <w:rPr>
                <w:sz w:val="22"/>
              </w:rPr>
              <w:t xml:space="preserve"> </w:t>
            </w:r>
            <w:r>
              <w:rPr>
                <w:rFonts w:cstheme="minorHAnsi"/>
                <w:noProof/>
                <w:sz w:val="22"/>
                <w:shd w:val="clear" w:color="auto" w:fill="FFFFFF"/>
              </w:rPr>
              <w:t>(Boyle et al. 2021)</w:t>
            </w:r>
            <w:r w:rsidRPr="007B1BBF">
              <w:rPr>
                <w:rFonts w:cstheme="minorHAnsi"/>
                <w:sz w:val="22"/>
                <w:shd w:val="clear" w:color="auto" w:fill="FFFFFF"/>
              </w:rPr>
              <w:t>. For this research clients were classified as experiencing gambling harm if</w:t>
            </w:r>
            <w:r>
              <w:rPr>
                <w:rFonts w:cstheme="minorHAnsi"/>
                <w:sz w:val="22"/>
                <w:shd w:val="clear" w:color="auto" w:fill="FFFFFF"/>
              </w:rPr>
              <w:t>:</w:t>
            </w:r>
            <w:r w:rsidRPr="007B1BBF">
              <w:rPr>
                <w:rFonts w:cstheme="minorHAnsi"/>
                <w:sz w:val="22"/>
                <w:shd w:val="clear" w:color="auto" w:fill="FFFFFF"/>
              </w:rPr>
              <w:t xml:space="preserve"> they reported it themselves; were engaged with a gambling support service; had suffered significant financial loss from an intimate partner’s gambling behaviour; or had been imprisoned for gambling-related crimes.</w:t>
            </w:r>
          </w:p>
        </w:tc>
      </w:tr>
    </w:tbl>
    <w:p w14:paraId="6D55D921" w14:textId="77777777" w:rsidR="001702AE" w:rsidRDefault="001702AE">
      <w:r>
        <w:br w:type="page"/>
      </w:r>
    </w:p>
    <w:tbl>
      <w:tblPr>
        <w:tblStyle w:val="PlainTable2"/>
        <w:tblW w:w="9781" w:type="dxa"/>
        <w:tblLook w:val="0480" w:firstRow="0" w:lastRow="0" w:firstColumn="1" w:lastColumn="0" w:noHBand="0" w:noVBand="1"/>
      </w:tblPr>
      <w:tblGrid>
        <w:gridCol w:w="2499"/>
        <w:gridCol w:w="236"/>
        <w:gridCol w:w="7046"/>
      </w:tblGrid>
      <w:tr w:rsidR="001702AE" w14:paraId="34BCA272"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dxa"/>
          </w:tcPr>
          <w:p w14:paraId="1177C1A6" w14:textId="77777777" w:rsidR="001702AE" w:rsidRPr="00740EB5" w:rsidRDefault="001702AE" w:rsidP="006B54C7">
            <w:pPr>
              <w:pStyle w:val="TitleinText"/>
            </w:pPr>
            <w:r>
              <w:lastRenderedPageBreak/>
              <w:t>Homelessness</w:t>
            </w:r>
          </w:p>
        </w:tc>
        <w:tc>
          <w:tcPr>
            <w:tcW w:w="236" w:type="dxa"/>
          </w:tcPr>
          <w:p w14:paraId="3A4CBE1E" w14:textId="77777777" w:rsidR="001702AE" w:rsidRPr="00F91EFB" w:rsidRDefault="001702AE" w:rsidP="006B54C7">
            <w:pPr>
              <w:cnfStyle w:val="000000100000" w:firstRow="0" w:lastRow="0" w:firstColumn="0" w:lastColumn="0" w:oddVBand="0" w:evenVBand="0" w:oddHBand="1" w:evenHBand="0" w:firstRowFirstColumn="0" w:firstRowLastColumn="0" w:lastRowFirstColumn="0" w:lastRowLastColumn="0"/>
              <w:rPr>
                <w:rFonts w:cstheme="minorHAnsi"/>
                <w:color w:val="332C28"/>
                <w:shd w:val="clear" w:color="auto" w:fill="FFFFFF"/>
              </w:rPr>
            </w:pPr>
          </w:p>
        </w:tc>
        <w:tc>
          <w:tcPr>
            <w:tcW w:w="7046" w:type="dxa"/>
          </w:tcPr>
          <w:p w14:paraId="2D26634F" w14:textId="77777777" w:rsidR="001702AE" w:rsidRPr="007B1BBF" w:rsidRDefault="001702AE" w:rsidP="00960D3C">
            <w:pP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7B1BBF">
              <w:rPr>
                <w:rFonts w:cstheme="minorHAnsi"/>
                <w:sz w:val="22"/>
                <w:shd w:val="clear" w:color="auto" w:fill="FFFFFF"/>
              </w:rPr>
              <w:t xml:space="preserve">For this research </w:t>
            </w:r>
            <w:r w:rsidRPr="007B1BBF">
              <w:rPr>
                <w:sz w:val="22"/>
              </w:rPr>
              <w:t xml:space="preserve">being homeless is defined as staying in a homelessness or women’s shelter, ‘rough sleeping’ or ‘couch surfing’. </w:t>
            </w:r>
            <w:r>
              <w:rPr>
                <w:sz w:val="22"/>
              </w:rPr>
              <w:t>T</w:t>
            </w:r>
            <w:r w:rsidRPr="007B1BBF">
              <w:rPr>
                <w:sz w:val="22"/>
              </w:rPr>
              <w:t>he Australian Bureau of Statistics</w:t>
            </w:r>
            <w:r>
              <w:rPr>
                <w:sz w:val="22"/>
              </w:rPr>
              <w:t xml:space="preserve"> uses a broader definition which includes severe overcrowding.</w:t>
            </w:r>
          </w:p>
        </w:tc>
      </w:tr>
      <w:tr w:rsidR="001702AE" w:rsidRPr="007B1BBF" w14:paraId="69AEA232" w14:textId="77777777" w:rsidTr="006B54C7">
        <w:tc>
          <w:tcPr>
            <w:cnfStyle w:val="001000000000" w:firstRow="0" w:lastRow="0" w:firstColumn="1" w:lastColumn="0" w:oddVBand="0" w:evenVBand="0" w:oddHBand="0" w:evenHBand="0" w:firstRowFirstColumn="0" w:firstRowLastColumn="0" w:lastRowFirstColumn="0" w:lastRowLastColumn="0"/>
            <w:tcW w:w="2499" w:type="dxa"/>
          </w:tcPr>
          <w:p w14:paraId="43B0B399" w14:textId="77777777" w:rsidR="001702AE" w:rsidRPr="00740EB5" w:rsidRDefault="001702AE" w:rsidP="006B54C7">
            <w:pPr>
              <w:pStyle w:val="TitleinText"/>
            </w:pPr>
            <w:r>
              <w:t>I</w:t>
            </w:r>
            <w:r w:rsidRPr="00740EB5">
              <w:t>ncome support payment</w:t>
            </w:r>
          </w:p>
          <w:p w14:paraId="6CE6D9A8" w14:textId="77777777" w:rsidR="001702AE" w:rsidRPr="00740EB5" w:rsidRDefault="001702AE" w:rsidP="006B54C7">
            <w:pPr>
              <w:pStyle w:val="TitleinText"/>
            </w:pPr>
          </w:p>
        </w:tc>
        <w:tc>
          <w:tcPr>
            <w:tcW w:w="236" w:type="dxa"/>
          </w:tcPr>
          <w:p w14:paraId="6F390381" w14:textId="77777777" w:rsidR="001702AE" w:rsidRDefault="001702AE" w:rsidP="006B54C7">
            <w:pPr>
              <w:spacing w:after="240"/>
              <w:cnfStyle w:val="000000000000" w:firstRow="0" w:lastRow="0" w:firstColumn="0" w:lastColumn="0" w:oddVBand="0" w:evenVBand="0" w:oddHBand="0" w:evenHBand="0" w:firstRowFirstColumn="0" w:firstRowLastColumn="0" w:lastRowFirstColumn="0" w:lastRowLastColumn="0"/>
            </w:pPr>
          </w:p>
        </w:tc>
        <w:tc>
          <w:tcPr>
            <w:tcW w:w="7046" w:type="dxa"/>
          </w:tcPr>
          <w:p w14:paraId="79486744" w14:textId="77777777" w:rsidR="001702AE" w:rsidRPr="007B1BBF" w:rsidRDefault="001702AE" w:rsidP="00960D3C">
            <w:pPr>
              <w:pStyle w:val="TableParagraph"/>
              <w:cnfStyle w:val="000000000000" w:firstRow="0" w:lastRow="0" w:firstColumn="0" w:lastColumn="0" w:oddVBand="0" w:evenVBand="0" w:oddHBand="0" w:evenHBand="0" w:firstRowFirstColumn="0" w:firstRowLastColumn="0" w:lastRowFirstColumn="0" w:lastRowLastColumn="0"/>
              <w:rPr>
                <w:sz w:val="22"/>
              </w:rPr>
            </w:pPr>
            <w:r>
              <w:rPr>
                <w:sz w:val="22"/>
              </w:rPr>
              <w:t>A f</w:t>
            </w:r>
            <w:r w:rsidRPr="007B1BBF">
              <w:rPr>
                <w:sz w:val="22"/>
              </w:rPr>
              <w:t>ull or part payment made by Centrelink. Includes Age Pension, Austudy, Carer Payment, Disability Support Pension, JobSeeker Payment, Parenting Payment, Special Benefit, Farm Household Allowance and Youth Allowance.</w:t>
            </w:r>
          </w:p>
        </w:tc>
      </w:tr>
      <w:tr w:rsidR="001702AE" w14:paraId="72EC4A13"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dxa"/>
          </w:tcPr>
          <w:p w14:paraId="6B915A2A" w14:textId="77777777" w:rsidR="001702AE" w:rsidRPr="00740EB5" w:rsidRDefault="001702AE" w:rsidP="006B54C7">
            <w:pPr>
              <w:pStyle w:val="TitleinText"/>
              <w:spacing w:after="120"/>
            </w:pPr>
            <w:r w:rsidRPr="00740EB5">
              <w:t xml:space="preserve">Mental illness or </w:t>
            </w:r>
            <w:r>
              <w:t xml:space="preserve">mental health </w:t>
            </w:r>
            <w:r w:rsidRPr="00740EB5">
              <w:t>difficulties</w:t>
            </w:r>
          </w:p>
          <w:p w14:paraId="423CDCB7" w14:textId="77777777" w:rsidR="001702AE" w:rsidRPr="00740EB5" w:rsidRDefault="001702AE" w:rsidP="006B54C7">
            <w:pPr>
              <w:pStyle w:val="TitleinText"/>
              <w:spacing w:after="120"/>
            </w:pPr>
          </w:p>
        </w:tc>
        <w:tc>
          <w:tcPr>
            <w:tcW w:w="236" w:type="dxa"/>
          </w:tcPr>
          <w:p w14:paraId="33EC4235" w14:textId="77777777" w:rsidR="001702AE" w:rsidRPr="007B1BBF" w:rsidRDefault="001702AE" w:rsidP="006B54C7">
            <w:pPr>
              <w:cnfStyle w:val="000000100000" w:firstRow="0" w:lastRow="0" w:firstColumn="0" w:lastColumn="0" w:oddVBand="0" w:evenVBand="0" w:oddHBand="1" w:evenHBand="0" w:firstRowFirstColumn="0" w:firstRowLastColumn="0" w:lastRowFirstColumn="0" w:lastRowLastColumn="0"/>
              <w:rPr>
                <w:sz w:val="20"/>
              </w:rPr>
            </w:pPr>
          </w:p>
        </w:tc>
        <w:tc>
          <w:tcPr>
            <w:tcW w:w="7046" w:type="dxa"/>
          </w:tcPr>
          <w:p w14:paraId="09B4AA0C" w14:textId="77777777" w:rsidR="001702AE" w:rsidRPr="00693F70" w:rsidRDefault="001702AE" w:rsidP="00960D3C">
            <w:pPr>
              <w:cnfStyle w:val="000000100000" w:firstRow="0" w:lastRow="0" w:firstColumn="0" w:lastColumn="0" w:oddVBand="0" w:evenVBand="0" w:oddHBand="1" w:evenHBand="0" w:firstRowFirstColumn="0" w:firstRowLastColumn="0" w:lastRowFirstColumn="0" w:lastRowLastColumn="0"/>
              <w:rPr>
                <w:rFonts w:cs="Calibri"/>
                <w:sz w:val="22"/>
              </w:rPr>
            </w:pPr>
            <w:r w:rsidRPr="00693F70">
              <w:rPr>
                <w:rFonts w:cs="Calibri"/>
                <w:sz w:val="22"/>
              </w:rPr>
              <w:t>For this research mental illness is defined as “a clinically diagnosable disorder that significantly interferes with a person’s cognitive, emotional or social abilities”</w:t>
            </w:r>
            <w:r w:rsidRPr="00693F70">
              <w:rPr>
                <w:sz w:val="22"/>
              </w:rPr>
              <w:t xml:space="preserve"> </w:t>
            </w:r>
            <w:r w:rsidRPr="00693F70">
              <w:rPr>
                <w:rFonts w:cs="Calibri"/>
                <w:noProof/>
                <w:sz w:val="22"/>
              </w:rPr>
              <w:t>(AIHW 2022a)</w:t>
            </w:r>
            <w:r w:rsidRPr="00693F70">
              <w:rPr>
                <w:rFonts w:cs="Calibri"/>
                <w:sz w:val="22"/>
              </w:rPr>
              <w:t>.</w:t>
            </w:r>
            <w:r w:rsidRPr="00693F70">
              <w:rPr>
                <w:rStyle w:val="FootnoteReference"/>
                <w:rFonts w:cstheme="minorHAnsi"/>
                <w:sz w:val="22"/>
              </w:rPr>
              <w:t xml:space="preserve"> </w:t>
            </w:r>
            <w:r w:rsidRPr="00693F70">
              <w:rPr>
                <w:rFonts w:cs="Calibri"/>
                <w:sz w:val="22"/>
              </w:rPr>
              <w:t xml:space="preserve">This definition covers a range of illnesses, including anxiety disorders, affective disorders, psychotic disorders and substance use disorders </w:t>
            </w:r>
            <w:r w:rsidRPr="00693F70">
              <w:rPr>
                <w:rFonts w:cstheme="minorHAnsi"/>
                <w:noProof/>
                <w:sz w:val="22"/>
              </w:rPr>
              <w:t>(AIHW 2022a)</w:t>
            </w:r>
            <w:r w:rsidRPr="00693F70">
              <w:rPr>
                <w:rFonts w:cstheme="minorHAnsi"/>
                <w:sz w:val="22"/>
              </w:rPr>
              <w:t xml:space="preserve">. It is also </w:t>
            </w:r>
            <w:r w:rsidRPr="00693F70">
              <w:rPr>
                <w:rFonts w:cs="Calibri"/>
                <w:sz w:val="22"/>
              </w:rPr>
              <w:t xml:space="preserve">possible to experience harm from mental health difficulties which don’t meet the threshold for a diagnosis of mental illness </w:t>
            </w:r>
            <w:r w:rsidRPr="00693F70">
              <w:rPr>
                <w:rFonts w:cstheme="minorHAnsi"/>
                <w:noProof/>
                <w:sz w:val="22"/>
              </w:rPr>
              <w:t>(AIHW 2022a)</w:t>
            </w:r>
            <w:r w:rsidRPr="00693F70">
              <w:rPr>
                <w:rFonts w:cstheme="minorHAnsi"/>
                <w:sz w:val="22"/>
              </w:rPr>
              <w:t>.</w:t>
            </w:r>
          </w:p>
        </w:tc>
      </w:tr>
      <w:tr w:rsidR="001702AE" w14:paraId="109292DF" w14:textId="77777777" w:rsidTr="006B54C7">
        <w:tc>
          <w:tcPr>
            <w:cnfStyle w:val="001000000000" w:firstRow="0" w:lastRow="0" w:firstColumn="1" w:lastColumn="0" w:oddVBand="0" w:evenVBand="0" w:oddHBand="0" w:evenHBand="0" w:firstRowFirstColumn="0" w:firstRowLastColumn="0" w:lastRowFirstColumn="0" w:lastRowLastColumn="0"/>
            <w:tcW w:w="2499" w:type="dxa"/>
          </w:tcPr>
          <w:p w14:paraId="6DE2B230" w14:textId="77777777" w:rsidR="001702AE" w:rsidRPr="00740EB5" w:rsidRDefault="001702AE" w:rsidP="006B54C7">
            <w:pPr>
              <w:pStyle w:val="TitleinText"/>
            </w:pPr>
            <w:r w:rsidRPr="00740EB5">
              <w:t>Psychiatric disability</w:t>
            </w:r>
          </w:p>
        </w:tc>
        <w:tc>
          <w:tcPr>
            <w:tcW w:w="236" w:type="dxa"/>
          </w:tcPr>
          <w:p w14:paraId="2CDABBDF" w14:textId="77777777" w:rsidR="001702AE" w:rsidRDefault="001702AE" w:rsidP="006B54C7">
            <w:pPr>
              <w:cnfStyle w:val="000000000000" w:firstRow="0" w:lastRow="0" w:firstColumn="0" w:lastColumn="0" w:oddVBand="0" w:evenVBand="0" w:oddHBand="0" w:evenHBand="0" w:firstRowFirstColumn="0" w:firstRowLastColumn="0" w:lastRowFirstColumn="0" w:lastRowLastColumn="0"/>
            </w:pPr>
          </w:p>
        </w:tc>
        <w:tc>
          <w:tcPr>
            <w:tcW w:w="7046" w:type="dxa"/>
          </w:tcPr>
          <w:p w14:paraId="5E662B28" w14:textId="77777777" w:rsidR="001702AE" w:rsidRPr="007B1BBF" w:rsidRDefault="001702AE" w:rsidP="00960D3C">
            <w:pPr>
              <w:cnfStyle w:val="000000000000" w:firstRow="0" w:lastRow="0" w:firstColumn="0" w:lastColumn="0" w:oddVBand="0" w:evenVBand="0" w:oddHBand="0" w:evenHBand="0" w:firstRowFirstColumn="0" w:firstRowLastColumn="0" w:lastRowFirstColumn="0" w:lastRowLastColumn="0"/>
              <w:rPr>
                <w:sz w:val="22"/>
              </w:rPr>
            </w:pPr>
            <w:r w:rsidRPr="007B1BBF">
              <w:rPr>
                <w:sz w:val="22"/>
              </w:rPr>
              <w:t>Psychiatric disability may be associated with schizophrenia, affective disorders, anxiety disorders, addictive behaviours, personality disorders, stress disorders, psychosis, depression and adjustment disorders</w:t>
            </w:r>
            <w:r>
              <w:rPr>
                <w:sz w:val="22"/>
              </w:rPr>
              <w:t xml:space="preserve"> </w:t>
            </w:r>
            <w:r>
              <w:rPr>
                <w:noProof/>
                <w:sz w:val="22"/>
              </w:rPr>
              <w:t>(AIHW 2022b)</w:t>
            </w:r>
            <w:r w:rsidRPr="007B1BBF">
              <w:rPr>
                <w:sz w:val="22"/>
              </w:rPr>
              <w:t>. Clients were classified as having psychiatric disability if they reported it during engagement with financial counselling.</w:t>
            </w:r>
          </w:p>
        </w:tc>
      </w:tr>
    </w:tbl>
    <w:p w14:paraId="621939B8" w14:textId="77777777" w:rsidR="001702AE" w:rsidRDefault="001702AE" w:rsidP="006B54C7">
      <w:pPr>
        <w:rPr>
          <w:b/>
          <w:color w:val="2F5496" w:themeColor="accent1" w:themeShade="BF"/>
        </w:rPr>
      </w:pPr>
      <w:r>
        <w:rPr>
          <w:b/>
          <w:color w:val="2F5496" w:themeColor="accent1" w:themeShade="BF"/>
        </w:rPr>
        <w:tab/>
      </w:r>
      <w:r>
        <w:rPr>
          <w:b/>
          <w:color w:val="2F5496" w:themeColor="accent1" w:themeShade="BF"/>
        </w:rPr>
        <w:tab/>
      </w:r>
      <w:r>
        <w:rPr>
          <w:b/>
          <w:color w:val="2F5496" w:themeColor="accent1" w:themeShade="BF"/>
        </w:rPr>
        <w:tab/>
      </w:r>
      <w:r>
        <w:rPr>
          <w:b/>
          <w:color w:val="2F5496" w:themeColor="accent1" w:themeShade="BF"/>
        </w:rPr>
        <w:tab/>
      </w:r>
    </w:p>
    <w:p w14:paraId="7CC83755" w14:textId="77777777" w:rsidR="001702AE" w:rsidRPr="00094C1B" w:rsidRDefault="001702AE" w:rsidP="006B54C7">
      <w:pPr>
        <w:widowControl/>
        <w:numPr>
          <w:ilvl w:val="0"/>
          <w:numId w:val="3"/>
        </w:numPr>
        <w:shd w:val="clear" w:color="auto" w:fill="FFFFFF"/>
        <w:autoSpaceDE/>
        <w:autoSpaceDN/>
        <w:spacing w:before="100" w:beforeAutospacing="1" w:after="100" w:afterAutospacing="1"/>
        <w:rPr>
          <w:b/>
        </w:rPr>
      </w:pPr>
      <w:r w:rsidRPr="00094C1B">
        <w:rPr>
          <w:b/>
        </w:rPr>
        <w:br w:type="page"/>
      </w:r>
    </w:p>
    <w:p w14:paraId="27FFC2DF" w14:textId="77777777" w:rsidR="001702AE" w:rsidRDefault="001702AE" w:rsidP="006B54C7">
      <w:pPr>
        <w:pStyle w:val="Heading1"/>
      </w:pPr>
      <w:bookmarkStart w:id="4" w:name="_Toc131232833"/>
      <w:r>
        <w:lastRenderedPageBreak/>
        <w:t>Our research and findings</w:t>
      </w:r>
      <w:bookmarkEnd w:id="4"/>
    </w:p>
    <w:p w14:paraId="19E3BCC1" w14:textId="77777777" w:rsidR="001702AE" w:rsidRDefault="001702AE" w:rsidP="006B54C7">
      <w:pPr>
        <w:pStyle w:val="Heading2"/>
      </w:pPr>
      <w:bookmarkStart w:id="5" w:name="_Toc131232834"/>
      <w:r>
        <w:t>What we did</w:t>
      </w:r>
      <w:bookmarkEnd w:id="5"/>
    </w:p>
    <w:p w14:paraId="50CD067D" w14:textId="77777777" w:rsidR="001702AE" w:rsidRDefault="001702AE" w:rsidP="006B54C7">
      <w:pPr>
        <w:spacing w:after="240"/>
      </w:pPr>
      <w:r>
        <w:t xml:space="preserve">From December 2022 to March 2023, the Social Action Research Centre undertook research to explore the impacts of Buy Now Pay Later (BNPL) on clients of Anglicare Tasmania’s </w:t>
      </w:r>
      <w:r w:rsidRPr="00EA5102">
        <w:t>financial counselling services. It entailed:</w:t>
      </w:r>
    </w:p>
    <w:p w14:paraId="647EC319" w14:textId="77777777" w:rsidR="001702AE" w:rsidRPr="001E135F" w:rsidRDefault="001702AE" w:rsidP="00B0567E">
      <w:pPr>
        <w:pStyle w:val="ListParagraph"/>
        <w:rPr>
          <w:b/>
          <w:color w:val="248EB9"/>
        </w:rPr>
      </w:pPr>
      <w:r w:rsidRPr="001E135F">
        <w:t>Surveying Anglicare Tasmania’s Financial Counsellors, asking about their client’s experiences of BNPL.</w:t>
      </w:r>
    </w:p>
    <w:p w14:paraId="6E0F802E" w14:textId="77777777" w:rsidR="001702AE" w:rsidRPr="001E135F" w:rsidRDefault="001702AE" w:rsidP="00B0567E">
      <w:pPr>
        <w:pStyle w:val="ListParagraph"/>
        <w:rPr>
          <w:b/>
          <w:color w:val="248EB9"/>
        </w:rPr>
      </w:pPr>
      <w:r w:rsidRPr="001E135F">
        <w:t>Extracting and analysing demographic and financial data recorded in Anglicare Tasmania’s database of financial counselling clients, for 100 clients with BNPL debts and 234 clients with no BNPL debts.</w:t>
      </w:r>
    </w:p>
    <w:p w14:paraId="63B54657" w14:textId="77777777" w:rsidR="001702AE" w:rsidRPr="001E135F" w:rsidRDefault="001702AE" w:rsidP="00B0567E">
      <w:pPr>
        <w:pStyle w:val="ListParagraph"/>
        <w:rPr>
          <w:b/>
          <w:color w:val="248EB9"/>
        </w:rPr>
      </w:pPr>
      <w:r w:rsidRPr="001E135F">
        <w:t>Reviewing and analysing data recorded in Case Files in Anglicare Tasmania’s database of financial counselling clients, for 100 clients with BNPL debts and 234 clients with no BNPL debts.</w:t>
      </w:r>
    </w:p>
    <w:p w14:paraId="3C586B85" w14:textId="77777777" w:rsidR="001702AE" w:rsidRPr="00A417AD" w:rsidRDefault="001702AE" w:rsidP="006B54C7">
      <w:pPr>
        <w:spacing w:before="240"/>
      </w:pPr>
      <w:r w:rsidRPr="00441582">
        <w:rPr>
          <w:bCs/>
        </w:rPr>
        <w:t xml:space="preserve">This is the first research to explore the impacts of Buy Now Pay Later on Tasmanians accessing </w:t>
      </w:r>
      <w:r>
        <w:rPr>
          <w:bCs/>
        </w:rPr>
        <w:t>f</w:t>
      </w:r>
      <w:r w:rsidRPr="00441582">
        <w:rPr>
          <w:bCs/>
        </w:rPr>
        <w:t xml:space="preserve">inancial </w:t>
      </w:r>
      <w:r>
        <w:rPr>
          <w:bCs/>
        </w:rPr>
        <w:t>c</w:t>
      </w:r>
      <w:r w:rsidRPr="00441582">
        <w:rPr>
          <w:bCs/>
        </w:rPr>
        <w:t>ounselling services, almost all of whom are in financial stress and facing social and economic disadvantage.</w:t>
      </w:r>
    </w:p>
    <w:p w14:paraId="2721A715" w14:textId="77777777" w:rsidR="001702AE" w:rsidRDefault="001702AE" w:rsidP="006B54C7">
      <w:pPr>
        <w:pStyle w:val="Heading2"/>
      </w:pPr>
      <w:bookmarkStart w:id="6" w:name="_Toc131232835"/>
      <w:r>
        <w:t>Financial Counsellors told us</w:t>
      </w:r>
      <w:bookmarkEnd w:id="6"/>
    </w:p>
    <w:p w14:paraId="51139B55" w14:textId="77777777" w:rsidR="001702AE" w:rsidRDefault="001702AE" w:rsidP="005D72F8">
      <w:pPr>
        <w:pStyle w:val="Bullets"/>
      </w:pPr>
      <w:r>
        <w:t>Many of their clients have BNPL debts</w:t>
      </w:r>
    </w:p>
    <w:p w14:paraId="783AE963" w14:textId="77777777" w:rsidR="001702AE" w:rsidRDefault="001702AE" w:rsidP="005D72F8">
      <w:pPr>
        <w:pStyle w:val="Bullets"/>
      </w:pPr>
      <w:r>
        <w:t>There are more clients with BNPL debts than 12 months ago</w:t>
      </w:r>
    </w:p>
    <w:p w14:paraId="07186F2F" w14:textId="77777777" w:rsidR="001702AE" w:rsidRDefault="001702AE" w:rsidP="005D72F8">
      <w:pPr>
        <w:pStyle w:val="Bullets"/>
      </w:pPr>
      <w:r>
        <w:t>Many clients have multiple BNPL debts or accounts</w:t>
      </w:r>
    </w:p>
    <w:p w14:paraId="4F6E070F" w14:textId="77777777" w:rsidR="001702AE" w:rsidRDefault="001702AE" w:rsidP="005D72F8">
      <w:pPr>
        <w:pStyle w:val="Bullets"/>
      </w:pPr>
      <w:r>
        <w:t xml:space="preserve">Few clients with BNPL debts recognise them as a type of credit </w:t>
      </w:r>
    </w:p>
    <w:p w14:paraId="4B11B200" w14:textId="77777777" w:rsidR="001702AE" w:rsidRDefault="001702AE" w:rsidP="005D72F8">
      <w:pPr>
        <w:pStyle w:val="Bullets"/>
      </w:pPr>
      <w:r>
        <w:t>Some clients like using BNPL products and want to keep using them</w:t>
      </w:r>
    </w:p>
    <w:p w14:paraId="00E684E4" w14:textId="77777777" w:rsidR="001702AE" w:rsidRPr="0055394C" w:rsidRDefault="001702AE" w:rsidP="005D72F8">
      <w:pPr>
        <w:pStyle w:val="Bullets"/>
      </w:pPr>
      <w:r>
        <w:t>M</w:t>
      </w:r>
      <w:r w:rsidRPr="0055394C">
        <w:t>any clients are using BNPL to buy food and other essentials</w:t>
      </w:r>
    </w:p>
    <w:p w14:paraId="2684DEF8" w14:textId="77777777" w:rsidR="001702AE" w:rsidRDefault="001702AE" w:rsidP="005D72F8">
      <w:pPr>
        <w:pStyle w:val="Bullets"/>
      </w:pPr>
      <w:r>
        <w:t>Some clients are using BNPL products to spend more than usual</w:t>
      </w:r>
    </w:p>
    <w:p w14:paraId="526A9627" w14:textId="77777777" w:rsidR="001702AE" w:rsidRPr="0055394C" w:rsidRDefault="001702AE" w:rsidP="005D72F8">
      <w:pPr>
        <w:pStyle w:val="Bullets"/>
      </w:pPr>
      <w:r>
        <w:t>M</w:t>
      </w:r>
      <w:r w:rsidRPr="0055394C">
        <w:t>any clients are going without essentials</w:t>
      </w:r>
      <w:r>
        <w:t xml:space="preserve">, including not paying rent, </w:t>
      </w:r>
      <w:r w:rsidRPr="0055394C">
        <w:t>to repay BNPL debts</w:t>
      </w:r>
    </w:p>
    <w:p w14:paraId="5E0F3523" w14:textId="77777777" w:rsidR="001702AE" w:rsidRDefault="001702AE" w:rsidP="005D72F8">
      <w:pPr>
        <w:pStyle w:val="Bullets"/>
      </w:pPr>
      <w:r>
        <w:t>BNPL debts are thought to be causing the most severe difficulties, compared to other debts</w:t>
      </w:r>
    </w:p>
    <w:p w14:paraId="08767581" w14:textId="77777777" w:rsidR="001702AE" w:rsidRDefault="001702AE" w:rsidP="005D72F8">
      <w:pPr>
        <w:pStyle w:val="Bullets"/>
      </w:pPr>
      <w:r>
        <w:t>Some clients may have been coerced into BNPL debts or drawn into them without their knowledge</w:t>
      </w:r>
    </w:p>
    <w:p w14:paraId="43869E05" w14:textId="77777777" w:rsidR="001702AE" w:rsidRDefault="001702AE" w:rsidP="005D72F8">
      <w:pPr>
        <w:pStyle w:val="Bullets"/>
      </w:pPr>
      <w:r>
        <w:t>Hardship policies/practices of BNPL providers are sometimes helpful</w:t>
      </w:r>
    </w:p>
    <w:p w14:paraId="1E68FC96" w14:textId="77777777" w:rsidR="001702AE" w:rsidRDefault="001702AE" w:rsidP="005D72F8">
      <w:pPr>
        <w:pStyle w:val="Bullets"/>
      </w:pPr>
      <w:r>
        <w:t>Some clients are benefiting from BNPL products, but this isn’t common</w:t>
      </w:r>
    </w:p>
    <w:p w14:paraId="3CAEC702" w14:textId="77777777" w:rsidR="001702AE" w:rsidRDefault="001702AE" w:rsidP="005D72F8">
      <w:pPr>
        <w:pStyle w:val="Bullets"/>
      </w:pPr>
      <w:r>
        <w:t>BNPL products need to be better regulated in Australia.</w:t>
      </w:r>
    </w:p>
    <w:p w14:paraId="18155A44" w14:textId="77777777" w:rsidR="001702AE" w:rsidRDefault="001702AE" w:rsidP="006B54C7">
      <w:pPr>
        <w:pStyle w:val="Heading2"/>
      </w:pPr>
      <w:bookmarkStart w:id="7" w:name="_Toc131232836"/>
      <w:r w:rsidRPr="00B72859">
        <w:lastRenderedPageBreak/>
        <w:t xml:space="preserve">Financial </w:t>
      </w:r>
      <w:r>
        <w:t>c</w:t>
      </w:r>
      <w:r w:rsidRPr="00B72859">
        <w:t>ounselling data reveal that…</w:t>
      </w:r>
      <w:bookmarkEnd w:id="7"/>
    </w:p>
    <w:p w14:paraId="0634A192" w14:textId="77777777" w:rsidR="001702AE" w:rsidRPr="00EC6A93" w:rsidRDefault="001702AE" w:rsidP="006B54C7">
      <w:pPr>
        <w:pStyle w:val="BodyText"/>
        <w:rPr>
          <w:b/>
          <w:color w:val="2F5496" w:themeColor="accent1" w:themeShade="BF"/>
          <w:sz w:val="22"/>
          <w:szCs w:val="26"/>
        </w:rPr>
      </w:pPr>
    </w:p>
    <w:p w14:paraId="2C2720BA" w14:textId="77777777" w:rsidR="001702AE" w:rsidRPr="007568C8" w:rsidRDefault="001702AE" w:rsidP="006B54C7">
      <w:pPr>
        <w:pStyle w:val="Breakout"/>
        <w:rPr>
          <w:rStyle w:val="IntenseEmphasis"/>
        </w:rPr>
      </w:pPr>
      <w:r>
        <w:rPr>
          <w:rStyle w:val="IntenseEmphasis"/>
        </w:rPr>
        <w:t>C</w:t>
      </w:r>
      <w:r w:rsidRPr="007568C8">
        <w:rPr>
          <w:rStyle w:val="IntenseEmphasis"/>
        </w:rPr>
        <w:t xml:space="preserve">lients with </w:t>
      </w:r>
      <w:r>
        <w:rPr>
          <w:rStyle w:val="IntenseEmphasis"/>
        </w:rPr>
        <w:t xml:space="preserve">Buy Now Pay Later </w:t>
      </w:r>
      <w:r w:rsidRPr="007568C8">
        <w:rPr>
          <w:rStyle w:val="IntenseEmphasis"/>
        </w:rPr>
        <w:t xml:space="preserve">debts are more likely to be female, young, Aboriginal and/or Torres Strait Islander, and experience social or economic disadvantage, compared to clients with no </w:t>
      </w:r>
      <w:r>
        <w:rPr>
          <w:rStyle w:val="IntenseEmphasis"/>
        </w:rPr>
        <w:t xml:space="preserve">Buy Now Pay Later </w:t>
      </w:r>
      <w:r w:rsidRPr="007568C8">
        <w:rPr>
          <w:rStyle w:val="IntenseEmphasis"/>
        </w:rPr>
        <w:t>debts</w:t>
      </w:r>
      <w:r>
        <w:rPr>
          <w:rStyle w:val="IntenseEmphasis"/>
        </w:rPr>
        <w:t>.</w:t>
      </w:r>
    </w:p>
    <w:p w14:paraId="741F4C5E" w14:textId="77777777" w:rsidR="001702AE" w:rsidRDefault="001702AE" w:rsidP="006B54C7">
      <w:pPr>
        <w:pStyle w:val="BodyText"/>
      </w:pPr>
    </w:p>
    <w:p w14:paraId="6FC1B951" w14:textId="77777777" w:rsidR="001702AE" w:rsidRPr="009C661D" w:rsidRDefault="001702AE" w:rsidP="006B54C7">
      <w:pPr>
        <w:pStyle w:val="BodyText"/>
      </w:pPr>
    </w:p>
    <w:tbl>
      <w:tblPr>
        <w:tblStyle w:val="PlainTable2"/>
        <w:tblW w:w="9935" w:type="dxa"/>
        <w:tblLook w:val="04A0" w:firstRow="1" w:lastRow="0" w:firstColumn="1" w:lastColumn="0" w:noHBand="0" w:noVBand="1"/>
      </w:tblPr>
      <w:tblGrid>
        <w:gridCol w:w="5245"/>
        <w:gridCol w:w="2410"/>
        <w:gridCol w:w="2268"/>
        <w:gridCol w:w="12"/>
      </w:tblGrid>
      <w:tr w:rsidR="001702AE" w14:paraId="43360A29" w14:textId="77777777" w:rsidTr="006B5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il"/>
            </w:tcBorders>
            <w:shd w:val="clear" w:color="auto" w:fill="E6E3D9"/>
          </w:tcPr>
          <w:p w14:paraId="75EF4C56" w14:textId="77777777" w:rsidR="001702AE" w:rsidRPr="00180B5F" w:rsidRDefault="001702AE" w:rsidP="006B54C7">
            <w:pPr>
              <w:rPr>
                <w:szCs w:val="26"/>
              </w:rPr>
            </w:pPr>
          </w:p>
        </w:tc>
        <w:tc>
          <w:tcPr>
            <w:tcW w:w="0" w:type="dxa"/>
            <w:gridSpan w:val="3"/>
            <w:shd w:val="clear" w:color="auto" w:fill="E6E3D9"/>
          </w:tcPr>
          <w:p w14:paraId="78507F71" w14:textId="77777777" w:rsidR="001702AE" w:rsidRPr="009C661D" w:rsidRDefault="001702AE" w:rsidP="006B54C7">
            <w:pPr>
              <w:jc w:val="center"/>
              <w:cnfStyle w:val="100000000000" w:firstRow="1" w:lastRow="0" w:firstColumn="0" w:lastColumn="0" w:oddVBand="0" w:evenVBand="0" w:oddHBand="0" w:evenHBand="0" w:firstRowFirstColumn="0" w:firstRowLastColumn="0" w:lastRowFirstColumn="0" w:lastRowLastColumn="0"/>
              <w:rPr>
                <w:szCs w:val="26"/>
              </w:rPr>
            </w:pPr>
            <w:r w:rsidRPr="009C661D">
              <w:rPr>
                <w:szCs w:val="26"/>
              </w:rPr>
              <w:t>Financial counselling clients</w:t>
            </w:r>
          </w:p>
        </w:tc>
      </w:tr>
      <w:tr w:rsidR="001702AE" w14:paraId="78E2D11D" w14:textId="77777777" w:rsidTr="006B54C7">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0" w:type="dxa"/>
            <w:tcBorders>
              <w:top w:val="nil"/>
            </w:tcBorders>
            <w:shd w:val="clear" w:color="auto" w:fill="E6E3D9"/>
          </w:tcPr>
          <w:p w14:paraId="0B30A755" w14:textId="77777777" w:rsidR="001702AE" w:rsidRPr="00180B5F" w:rsidRDefault="001702AE" w:rsidP="006B54C7">
            <w:pPr>
              <w:rPr>
                <w:szCs w:val="26"/>
              </w:rPr>
            </w:pPr>
          </w:p>
        </w:tc>
        <w:tc>
          <w:tcPr>
            <w:tcW w:w="0" w:type="dxa"/>
            <w:shd w:val="clear" w:color="auto" w:fill="E6E3D9"/>
          </w:tcPr>
          <w:p w14:paraId="64901296" w14:textId="77777777" w:rsidR="001702AE" w:rsidRPr="009C661D"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9C661D">
              <w:rPr>
                <w:b/>
                <w:szCs w:val="26"/>
              </w:rPr>
              <w:t>with BNPL debts</w:t>
            </w:r>
          </w:p>
        </w:tc>
        <w:tc>
          <w:tcPr>
            <w:tcW w:w="0" w:type="dxa"/>
            <w:shd w:val="clear" w:color="auto" w:fill="E6E3D9"/>
          </w:tcPr>
          <w:p w14:paraId="0625F2DE" w14:textId="77777777" w:rsidR="001702AE" w:rsidRPr="009C661D"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9C661D">
              <w:rPr>
                <w:b/>
                <w:szCs w:val="26"/>
              </w:rPr>
              <w:t>with no BNPL debts</w:t>
            </w:r>
          </w:p>
        </w:tc>
      </w:tr>
      <w:tr w:rsidR="001702AE" w14:paraId="7C313BF3" w14:textId="77777777" w:rsidTr="006B54C7">
        <w:trPr>
          <w:gridAfter w:val="1"/>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307D34A8" w14:textId="77777777" w:rsidR="001702AE" w:rsidRPr="0060432D" w:rsidRDefault="001702AE" w:rsidP="006B54C7">
            <w:pPr>
              <w:rPr>
                <w:szCs w:val="26"/>
              </w:rPr>
            </w:pPr>
            <w:r w:rsidRPr="0060432D">
              <w:rPr>
                <w:szCs w:val="26"/>
              </w:rPr>
              <w:t>Female</w:t>
            </w:r>
          </w:p>
        </w:tc>
        <w:tc>
          <w:tcPr>
            <w:tcW w:w="2410" w:type="dxa"/>
          </w:tcPr>
          <w:p w14:paraId="4E59D2E5" w14:textId="77777777" w:rsidR="001702AE" w:rsidRPr="0060432D"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60432D">
              <w:rPr>
                <w:szCs w:val="26"/>
              </w:rPr>
              <w:t>71%</w:t>
            </w:r>
          </w:p>
        </w:tc>
        <w:tc>
          <w:tcPr>
            <w:tcW w:w="2268" w:type="dxa"/>
          </w:tcPr>
          <w:p w14:paraId="66FC6811"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180B5F">
              <w:rPr>
                <w:szCs w:val="26"/>
              </w:rPr>
              <w:t>3</w:t>
            </w:r>
            <w:r>
              <w:rPr>
                <w:szCs w:val="26"/>
              </w:rPr>
              <w:t>6</w:t>
            </w:r>
            <w:r w:rsidRPr="00180B5F">
              <w:rPr>
                <w:szCs w:val="26"/>
              </w:rPr>
              <w:t>%</w:t>
            </w:r>
          </w:p>
        </w:tc>
      </w:tr>
      <w:tr w:rsidR="001702AE" w14:paraId="415AF699" w14:textId="77777777" w:rsidTr="006B54C7">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07D5C913" w14:textId="77777777" w:rsidR="001702AE" w:rsidRPr="0060432D" w:rsidRDefault="001702AE" w:rsidP="006B54C7">
            <w:pPr>
              <w:rPr>
                <w:szCs w:val="26"/>
              </w:rPr>
            </w:pPr>
            <w:r w:rsidRPr="0060432D">
              <w:rPr>
                <w:szCs w:val="26"/>
              </w:rPr>
              <w:t>Young – under 25 years</w:t>
            </w:r>
          </w:p>
        </w:tc>
        <w:tc>
          <w:tcPr>
            <w:tcW w:w="2410" w:type="dxa"/>
          </w:tcPr>
          <w:p w14:paraId="2F8F91AE" w14:textId="77777777" w:rsidR="001702AE" w:rsidRPr="0060432D"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60432D">
              <w:rPr>
                <w:szCs w:val="26"/>
              </w:rPr>
              <w:t>18%</w:t>
            </w:r>
          </w:p>
        </w:tc>
        <w:tc>
          <w:tcPr>
            <w:tcW w:w="2268" w:type="dxa"/>
          </w:tcPr>
          <w:p w14:paraId="31D48765"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Pr>
                <w:szCs w:val="26"/>
              </w:rPr>
              <w:t>7</w:t>
            </w:r>
            <w:r w:rsidRPr="00180B5F">
              <w:rPr>
                <w:szCs w:val="26"/>
              </w:rPr>
              <w:t>%</w:t>
            </w:r>
          </w:p>
        </w:tc>
      </w:tr>
      <w:tr w:rsidR="001702AE" w14:paraId="36AF0B56" w14:textId="77777777" w:rsidTr="006B54C7">
        <w:trPr>
          <w:gridAfter w:val="1"/>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59B31B4E" w14:textId="77777777" w:rsidR="001702AE" w:rsidRPr="0060432D" w:rsidRDefault="001702AE" w:rsidP="006B54C7">
            <w:pPr>
              <w:rPr>
                <w:szCs w:val="26"/>
              </w:rPr>
            </w:pPr>
            <w:r w:rsidRPr="0060432D">
              <w:rPr>
                <w:szCs w:val="26"/>
              </w:rPr>
              <w:t>Older – 60 years and over</w:t>
            </w:r>
          </w:p>
        </w:tc>
        <w:tc>
          <w:tcPr>
            <w:tcW w:w="2410" w:type="dxa"/>
          </w:tcPr>
          <w:p w14:paraId="472B635D" w14:textId="77777777" w:rsidR="001702AE" w:rsidRPr="0060432D"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60432D">
              <w:rPr>
                <w:szCs w:val="26"/>
              </w:rPr>
              <w:t>5%</w:t>
            </w:r>
          </w:p>
        </w:tc>
        <w:tc>
          <w:tcPr>
            <w:tcW w:w="2268" w:type="dxa"/>
          </w:tcPr>
          <w:p w14:paraId="668FD36E"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180B5F">
              <w:rPr>
                <w:szCs w:val="26"/>
              </w:rPr>
              <w:t>1</w:t>
            </w:r>
            <w:r>
              <w:rPr>
                <w:szCs w:val="26"/>
              </w:rPr>
              <w:t>8</w:t>
            </w:r>
            <w:r w:rsidRPr="00180B5F">
              <w:rPr>
                <w:szCs w:val="26"/>
              </w:rPr>
              <w:t>%</w:t>
            </w:r>
          </w:p>
        </w:tc>
      </w:tr>
      <w:tr w:rsidR="001702AE" w14:paraId="6AED4284" w14:textId="77777777" w:rsidTr="006B54C7">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7452BD0D" w14:textId="77777777" w:rsidR="001702AE" w:rsidRPr="0060432D" w:rsidRDefault="001702AE" w:rsidP="006B54C7">
            <w:pPr>
              <w:rPr>
                <w:szCs w:val="26"/>
              </w:rPr>
            </w:pPr>
            <w:r w:rsidRPr="0060432D">
              <w:rPr>
                <w:szCs w:val="26"/>
              </w:rPr>
              <w:t>Aboriginal and/or Torres Strait Islander</w:t>
            </w:r>
          </w:p>
        </w:tc>
        <w:tc>
          <w:tcPr>
            <w:tcW w:w="2410" w:type="dxa"/>
          </w:tcPr>
          <w:p w14:paraId="252BA19F" w14:textId="77777777" w:rsidR="001702AE" w:rsidRPr="0060432D"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60432D">
              <w:rPr>
                <w:szCs w:val="26"/>
              </w:rPr>
              <w:t>20%</w:t>
            </w:r>
          </w:p>
        </w:tc>
        <w:tc>
          <w:tcPr>
            <w:tcW w:w="2268" w:type="dxa"/>
          </w:tcPr>
          <w:p w14:paraId="15E41B05"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180B5F">
              <w:rPr>
                <w:szCs w:val="26"/>
              </w:rPr>
              <w:t>1</w:t>
            </w:r>
            <w:r>
              <w:rPr>
                <w:szCs w:val="26"/>
              </w:rPr>
              <w:t>2</w:t>
            </w:r>
            <w:r w:rsidRPr="00180B5F">
              <w:rPr>
                <w:szCs w:val="26"/>
              </w:rPr>
              <w:t>%</w:t>
            </w:r>
          </w:p>
        </w:tc>
      </w:tr>
      <w:tr w:rsidR="001702AE" w14:paraId="5ABC8AED" w14:textId="77777777" w:rsidTr="006B54C7">
        <w:trPr>
          <w:gridAfter w:val="1"/>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2B1DA888" w14:textId="77777777" w:rsidR="001702AE" w:rsidRPr="0060432D" w:rsidRDefault="001702AE" w:rsidP="006B54C7">
            <w:pPr>
              <w:rPr>
                <w:szCs w:val="26"/>
              </w:rPr>
            </w:pPr>
            <w:r>
              <w:rPr>
                <w:szCs w:val="26"/>
              </w:rPr>
              <w:t>Experiencing o</w:t>
            </w:r>
            <w:r w:rsidRPr="0060432D">
              <w:rPr>
                <w:szCs w:val="26"/>
              </w:rPr>
              <w:t>ne or more type</w:t>
            </w:r>
            <w:r>
              <w:rPr>
                <w:szCs w:val="26"/>
              </w:rPr>
              <w:t>s</w:t>
            </w:r>
            <w:r w:rsidRPr="0060432D">
              <w:rPr>
                <w:szCs w:val="26"/>
              </w:rPr>
              <w:t xml:space="preserve"> of social or economic disadvantage</w:t>
            </w:r>
          </w:p>
        </w:tc>
        <w:tc>
          <w:tcPr>
            <w:tcW w:w="2410" w:type="dxa"/>
          </w:tcPr>
          <w:p w14:paraId="2BD73682" w14:textId="77777777" w:rsidR="001702AE" w:rsidRPr="0060432D"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60432D">
              <w:rPr>
                <w:szCs w:val="26"/>
              </w:rPr>
              <w:t>100%</w:t>
            </w:r>
          </w:p>
        </w:tc>
        <w:tc>
          <w:tcPr>
            <w:tcW w:w="2268" w:type="dxa"/>
          </w:tcPr>
          <w:p w14:paraId="7A52EF8A"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180B5F">
              <w:rPr>
                <w:szCs w:val="26"/>
              </w:rPr>
              <w:t>83%</w:t>
            </w:r>
          </w:p>
        </w:tc>
      </w:tr>
      <w:tr w:rsidR="001702AE" w14:paraId="45BB7F58" w14:textId="77777777" w:rsidTr="006B54C7">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0E2A8170" w14:textId="77777777" w:rsidR="001702AE" w:rsidRPr="00180B5F" w:rsidRDefault="001702AE" w:rsidP="006B54C7">
            <w:pPr>
              <w:rPr>
                <w:szCs w:val="26"/>
              </w:rPr>
            </w:pPr>
            <w:r w:rsidRPr="00180B5F">
              <w:rPr>
                <w:szCs w:val="26"/>
              </w:rPr>
              <w:t>Single parent to under 18s or dependent adult children</w:t>
            </w:r>
          </w:p>
        </w:tc>
        <w:tc>
          <w:tcPr>
            <w:tcW w:w="2410" w:type="dxa"/>
          </w:tcPr>
          <w:p w14:paraId="0FB46947"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Pr>
                <w:szCs w:val="26"/>
              </w:rPr>
              <w:t>40</w:t>
            </w:r>
            <w:r w:rsidRPr="00180B5F">
              <w:rPr>
                <w:szCs w:val="26"/>
              </w:rPr>
              <w:t>%</w:t>
            </w:r>
          </w:p>
        </w:tc>
        <w:tc>
          <w:tcPr>
            <w:tcW w:w="2268" w:type="dxa"/>
          </w:tcPr>
          <w:p w14:paraId="17377621"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180B5F">
              <w:rPr>
                <w:szCs w:val="26"/>
              </w:rPr>
              <w:t>1</w:t>
            </w:r>
            <w:r>
              <w:rPr>
                <w:szCs w:val="26"/>
              </w:rPr>
              <w:t>8</w:t>
            </w:r>
            <w:r w:rsidRPr="00180B5F">
              <w:rPr>
                <w:szCs w:val="26"/>
              </w:rPr>
              <w:t>%</w:t>
            </w:r>
          </w:p>
        </w:tc>
      </w:tr>
      <w:tr w:rsidR="001702AE" w14:paraId="66213E8E" w14:textId="77777777" w:rsidTr="006B54C7">
        <w:trPr>
          <w:gridAfter w:val="1"/>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45112504" w14:textId="77777777" w:rsidR="001702AE" w:rsidRPr="00F81D42" w:rsidRDefault="001702AE" w:rsidP="006B54C7">
            <w:pPr>
              <w:rPr>
                <w:szCs w:val="26"/>
              </w:rPr>
            </w:pPr>
            <w:r>
              <w:rPr>
                <w:szCs w:val="26"/>
              </w:rPr>
              <w:t>Receiving an income support payment</w:t>
            </w:r>
            <w:r w:rsidRPr="0055394C">
              <w:rPr>
                <w:szCs w:val="26"/>
                <w:vertAlign w:val="superscript"/>
              </w:rPr>
              <w:t>1</w:t>
            </w:r>
          </w:p>
        </w:tc>
        <w:tc>
          <w:tcPr>
            <w:tcW w:w="2410" w:type="dxa"/>
          </w:tcPr>
          <w:p w14:paraId="3DC5E052"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Pr>
                <w:szCs w:val="26"/>
              </w:rPr>
              <w:t>81%</w:t>
            </w:r>
          </w:p>
        </w:tc>
        <w:tc>
          <w:tcPr>
            <w:tcW w:w="2268" w:type="dxa"/>
          </w:tcPr>
          <w:p w14:paraId="6B3B89C5"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Pr>
                <w:szCs w:val="26"/>
              </w:rPr>
              <w:t>48%</w:t>
            </w:r>
          </w:p>
        </w:tc>
      </w:tr>
      <w:tr w:rsidR="001702AE" w14:paraId="614E7B62" w14:textId="77777777" w:rsidTr="006B54C7">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2469AE52" w14:textId="77777777" w:rsidR="001702AE" w:rsidRPr="00180B5F" w:rsidRDefault="001702AE" w:rsidP="006B54C7">
            <w:pPr>
              <w:rPr>
                <w:szCs w:val="26"/>
              </w:rPr>
            </w:pPr>
            <w:r w:rsidRPr="00180B5F">
              <w:rPr>
                <w:szCs w:val="26"/>
              </w:rPr>
              <w:t>Currently homeless</w:t>
            </w:r>
            <w:r>
              <w:rPr>
                <w:rStyle w:val="FootnoteReference"/>
                <w:szCs w:val="26"/>
              </w:rPr>
              <w:footnoteReference w:id="1"/>
            </w:r>
          </w:p>
        </w:tc>
        <w:tc>
          <w:tcPr>
            <w:tcW w:w="2410" w:type="dxa"/>
          </w:tcPr>
          <w:p w14:paraId="05514660"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180B5F">
              <w:rPr>
                <w:szCs w:val="26"/>
              </w:rPr>
              <w:t>1</w:t>
            </w:r>
            <w:r>
              <w:rPr>
                <w:szCs w:val="26"/>
              </w:rPr>
              <w:t>4</w:t>
            </w:r>
            <w:r w:rsidRPr="00180B5F">
              <w:rPr>
                <w:szCs w:val="26"/>
              </w:rPr>
              <w:t>%</w:t>
            </w:r>
          </w:p>
        </w:tc>
        <w:tc>
          <w:tcPr>
            <w:tcW w:w="2268" w:type="dxa"/>
          </w:tcPr>
          <w:p w14:paraId="1A058866"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180B5F">
              <w:rPr>
                <w:szCs w:val="26"/>
              </w:rPr>
              <w:t>9%</w:t>
            </w:r>
          </w:p>
        </w:tc>
      </w:tr>
      <w:tr w:rsidR="001702AE" w14:paraId="1667B147" w14:textId="77777777" w:rsidTr="006B54C7">
        <w:trPr>
          <w:gridAfter w:val="1"/>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1AE03FA3" w14:textId="77777777" w:rsidR="001702AE" w:rsidRPr="00180B5F" w:rsidRDefault="001702AE" w:rsidP="006B54C7">
            <w:pPr>
              <w:rPr>
                <w:szCs w:val="26"/>
              </w:rPr>
            </w:pPr>
            <w:r>
              <w:rPr>
                <w:szCs w:val="26"/>
              </w:rPr>
              <w:t>Fully own or b</w:t>
            </w:r>
            <w:r w:rsidRPr="00180B5F">
              <w:rPr>
                <w:szCs w:val="26"/>
              </w:rPr>
              <w:t>uying their home</w:t>
            </w:r>
          </w:p>
        </w:tc>
        <w:tc>
          <w:tcPr>
            <w:tcW w:w="2410" w:type="dxa"/>
          </w:tcPr>
          <w:p w14:paraId="27F60C4F"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180B5F">
              <w:rPr>
                <w:szCs w:val="26"/>
              </w:rPr>
              <w:t>1</w:t>
            </w:r>
            <w:r>
              <w:rPr>
                <w:szCs w:val="26"/>
              </w:rPr>
              <w:t>3</w:t>
            </w:r>
            <w:r w:rsidRPr="00180B5F">
              <w:rPr>
                <w:szCs w:val="26"/>
              </w:rPr>
              <w:t>%</w:t>
            </w:r>
          </w:p>
        </w:tc>
        <w:tc>
          <w:tcPr>
            <w:tcW w:w="2268" w:type="dxa"/>
          </w:tcPr>
          <w:p w14:paraId="2543001A"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180B5F">
              <w:rPr>
                <w:szCs w:val="26"/>
              </w:rPr>
              <w:t>2</w:t>
            </w:r>
            <w:r>
              <w:rPr>
                <w:szCs w:val="26"/>
              </w:rPr>
              <w:t>7</w:t>
            </w:r>
            <w:r w:rsidRPr="00180B5F">
              <w:rPr>
                <w:szCs w:val="26"/>
              </w:rPr>
              <w:t>%</w:t>
            </w:r>
          </w:p>
        </w:tc>
      </w:tr>
      <w:tr w:rsidR="001702AE" w14:paraId="3720864B" w14:textId="77777777" w:rsidTr="006B54C7">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23089D61" w14:textId="77777777" w:rsidR="001702AE" w:rsidRPr="0055394C" w:rsidRDefault="001702AE" w:rsidP="006B54C7">
            <w:pPr>
              <w:rPr>
                <w:szCs w:val="26"/>
                <w:vertAlign w:val="superscript"/>
              </w:rPr>
            </w:pPr>
            <w:r w:rsidRPr="00180B5F">
              <w:rPr>
                <w:szCs w:val="26"/>
              </w:rPr>
              <w:t>Victim survivor of family violence</w:t>
            </w:r>
            <w:bookmarkStart w:id="8" w:name="_Hlk130810920"/>
            <w:r w:rsidRPr="0055394C">
              <w:rPr>
                <w:szCs w:val="26"/>
                <w:vertAlign w:val="superscript"/>
              </w:rPr>
              <w:t>1</w:t>
            </w:r>
            <w:bookmarkEnd w:id="8"/>
          </w:p>
        </w:tc>
        <w:tc>
          <w:tcPr>
            <w:tcW w:w="2410" w:type="dxa"/>
          </w:tcPr>
          <w:p w14:paraId="1C8A48A4"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sidRPr="00180B5F">
              <w:rPr>
                <w:szCs w:val="26"/>
              </w:rPr>
              <w:t>2</w:t>
            </w:r>
            <w:r>
              <w:rPr>
                <w:szCs w:val="26"/>
              </w:rPr>
              <w:t>1</w:t>
            </w:r>
            <w:r w:rsidRPr="00180B5F">
              <w:rPr>
                <w:szCs w:val="26"/>
              </w:rPr>
              <w:t>%</w:t>
            </w:r>
          </w:p>
        </w:tc>
        <w:tc>
          <w:tcPr>
            <w:tcW w:w="2268" w:type="dxa"/>
          </w:tcPr>
          <w:p w14:paraId="00116A1D" w14:textId="77777777" w:rsidR="001702AE" w:rsidRPr="00180B5F" w:rsidRDefault="001702AE" w:rsidP="006B54C7">
            <w:pPr>
              <w:jc w:val="center"/>
              <w:cnfStyle w:val="000000100000" w:firstRow="0" w:lastRow="0" w:firstColumn="0" w:lastColumn="0" w:oddVBand="0" w:evenVBand="0" w:oddHBand="1" w:evenHBand="0" w:firstRowFirstColumn="0" w:firstRowLastColumn="0" w:lastRowFirstColumn="0" w:lastRowLastColumn="0"/>
              <w:rPr>
                <w:szCs w:val="26"/>
              </w:rPr>
            </w:pPr>
            <w:r>
              <w:rPr>
                <w:szCs w:val="26"/>
              </w:rPr>
              <w:t>12</w:t>
            </w:r>
            <w:r w:rsidRPr="00180B5F">
              <w:rPr>
                <w:szCs w:val="26"/>
              </w:rPr>
              <w:t>%</w:t>
            </w:r>
          </w:p>
        </w:tc>
      </w:tr>
      <w:tr w:rsidR="001702AE" w14:paraId="0044153F" w14:textId="77777777" w:rsidTr="006B54C7">
        <w:trPr>
          <w:gridAfter w:val="1"/>
          <w:wAfter w:w="12" w:type="dxa"/>
        </w:trPr>
        <w:tc>
          <w:tcPr>
            <w:cnfStyle w:val="001000000000" w:firstRow="0" w:lastRow="0" w:firstColumn="1" w:lastColumn="0" w:oddVBand="0" w:evenVBand="0" w:oddHBand="0" w:evenHBand="0" w:firstRowFirstColumn="0" w:firstRowLastColumn="0" w:lastRowFirstColumn="0" w:lastRowLastColumn="0"/>
            <w:tcW w:w="5245" w:type="dxa"/>
          </w:tcPr>
          <w:p w14:paraId="75CCC815" w14:textId="77777777" w:rsidR="001702AE" w:rsidRPr="00180B5F" w:rsidRDefault="001702AE" w:rsidP="006B54C7">
            <w:pPr>
              <w:rPr>
                <w:szCs w:val="26"/>
              </w:rPr>
            </w:pPr>
            <w:r w:rsidRPr="00180B5F">
              <w:rPr>
                <w:szCs w:val="26"/>
              </w:rPr>
              <w:t>Gambling harm</w:t>
            </w:r>
            <w:r w:rsidRPr="0055394C">
              <w:rPr>
                <w:szCs w:val="26"/>
                <w:vertAlign w:val="superscript"/>
              </w:rPr>
              <w:t>1</w:t>
            </w:r>
          </w:p>
        </w:tc>
        <w:tc>
          <w:tcPr>
            <w:tcW w:w="2410" w:type="dxa"/>
          </w:tcPr>
          <w:p w14:paraId="4C24B721"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180B5F">
              <w:rPr>
                <w:szCs w:val="26"/>
              </w:rPr>
              <w:t>7%</w:t>
            </w:r>
          </w:p>
        </w:tc>
        <w:tc>
          <w:tcPr>
            <w:tcW w:w="2268" w:type="dxa"/>
          </w:tcPr>
          <w:p w14:paraId="37923D3D" w14:textId="77777777" w:rsidR="001702AE" w:rsidRPr="00180B5F" w:rsidRDefault="001702AE" w:rsidP="006B54C7">
            <w:pPr>
              <w:jc w:val="center"/>
              <w:cnfStyle w:val="000000000000" w:firstRow="0" w:lastRow="0" w:firstColumn="0" w:lastColumn="0" w:oddVBand="0" w:evenVBand="0" w:oddHBand="0" w:evenHBand="0" w:firstRowFirstColumn="0" w:firstRowLastColumn="0" w:lastRowFirstColumn="0" w:lastRowLastColumn="0"/>
              <w:rPr>
                <w:szCs w:val="26"/>
              </w:rPr>
            </w:pPr>
            <w:r w:rsidRPr="00180B5F">
              <w:rPr>
                <w:szCs w:val="26"/>
              </w:rPr>
              <w:t>3%</w:t>
            </w:r>
          </w:p>
        </w:tc>
      </w:tr>
    </w:tbl>
    <w:p w14:paraId="4EEFBB52" w14:textId="77777777" w:rsidR="001702AE" w:rsidRDefault="001702AE" w:rsidP="005D72F8">
      <w:pPr>
        <w:pStyle w:val="Bullets"/>
      </w:pPr>
      <w:r>
        <w:br w:type="page"/>
      </w:r>
    </w:p>
    <w:p w14:paraId="5DF223C9" w14:textId="77777777" w:rsidR="001702AE" w:rsidRDefault="001702AE" w:rsidP="006B54C7">
      <w:pPr>
        <w:pStyle w:val="Heading2"/>
        <w:rPr>
          <w:rFonts w:ascii="Calibri" w:eastAsiaTheme="minorHAnsi" w:hAnsi="Calibri" w:cs="Calibri"/>
          <w:color w:val="auto"/>
          <w:sz w:val="22"/>
        </w:rPr>
      </w:pPr>
      <w:bookmarkStart w:id="9" w:name="_Toc131232837"/>
      <w:r>
        <w:lastRenderedPageBreak/>
        <w:t>Financial counselling clients with BNPL debts</w:t>
      </w:r>
      <w:bookmarkEnd w:id="9"/>
    </w:p>
    <w:p w14:paraId="2D53CCEF" w14:textId="77777777" w:rsidR="001702AE" w:rsidRDefault="001702AE">
      <w:pPr>
        <w:spacing w:before="0" w:after="0"/>
        <w:rPr>
          <w:rFonts w:ascii="Avenir Next Demi Bold" w:eastAsia="AvenirNextLTPro-Demi" w:hAnsi="Avenir Next Demi Bold" w:cs="AvenirNextLTPro-Demi"/>
          <w:b/>
          <w:color w:val="248EB9"/>
          <w:spacing w:val="-6"/>
          <w:sz w:val="36"/>
          <w:szCs w:val="36"/>
        </w:rPr>
      </w:pPr>
      <w:r>
        <w:rPr>
          <w:noProof/>
        </w:rPr>
        <w:drawing>
          <wp:inline distT="0" distB="0" distL="0" distR="0" wp14:anchorId="23ACBF1A" wp14:editId="352C0B22">
            <wp:extent cx="5943600" cy="781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810500"/>
                    </a:xfrm>
                    <a:prstGeom prst="rect">
                      <a:avLst/>
                    </a:prstGeom>
                    <a:noFill/>
                    <a:ln>
                      <a:noFill/>
                    </a:ln>
                  </pic:spPr>
                </pic:pic>
              </a:graphicData>
            </a:graphic>
          </wp:inline>
        </w:drawing>
      </w:r>
      <w:r>
        <w:br w:type="page"/>
      </w:r>
    </w:p>
    <w:p w14:paraId="02E9AA6B" w14:textId="77777777" w:rsidR="001702AE" w:rsidRDefault="001702AE" w:rsidP="006B54C7">
      <w:pPr>
        <w:pStyle w:val="Heading2"/>
      </w:pPr>
      <w:bookmarkStart w:id="10" w:name="_Toc131232838"/>
      <w:r w:rsidRPr="00180B5F">
        <w:lastRenderedPageBreak/>
        <w:t xml:space="preserve">Financial </w:t>
      </w:r>
      <w:r>
        <w:t>c</w:t>
      </w:r>
      <w:r w:rsidRPr="00180B5F">
        <w:t>ounselling data reveal</w:t>
      </w:r>
      <w:r>
        <w:t>s</w:t>
      </w:r>
      <w:r w:rsidRPr="00180B5F">
        <w:t xml:space="preserve"> that</w:t>
      </w:r>
      <w:r>
        <w:t xml:space="preserve"> …</w:t>
      </w:r>
      <w:bookmarkEnd w:id="10"/>
    </w:p>
    <w:p w14:paraId="593B8A2F" w14:textId="77777777" w:rsidR="001702AE" w:rsidRPr="00D124F6" w:rsidRDefault="001702AE" w:rsidP="006B54C7">
      <w:pPr>
        <w:pStyle w:val="BodyText"/>
      </w:pPr>
    </w:p>
    <w:p w14:paraId="5C311992" w14:textId="77777777" w:rsidR="001702AE" w:rsidRPr="00504A6E" w:rsidRDefault="001702AE" w:rsidP="006B54C7">
      <w:pPr>
        <w:pStyle w:val="Breakout"/>
        <w:rPr>
          <w:rStyle w:val="IntenseEmphasis"/>
        </w:rPr>
      </w:pPr>
      <w:r w:rsidRPr="00504A6E">
        <w:rPr>
          <w:rStyle w:val="IntenseEmphasis"/>
        </w:rPr>
        <w:t xml:space="preserve">Clients with </w:t>
      </w:r>
      <w:r>
        <w:rPr>
          <w:rStyle w:val="IntenseEmphasis"/>
        </w:rPr>
        <w:t xml:space="preserve">Buy Now Pay Later </w:t>
      </w:r>
      <w:r w:rsidRPr="00504A6E">
        <w:rPr>
          <w:rStyle w:val="IntenseEmphasis"/>
        </w:rPr>
        <w:t>debts are often struggling with multiple, sometimes unmanageable debts</w:t>
      </w:r>
      <w:r>
        <w:rPr>
          <w:rStyle w:val="IntenseEmphasis"/>
        </w:rPr>
        <w:t>.</w:t>
      </w:r>
    </w:p>
    <w:p w14:paraId="62AEE77B" w14:textId="77777777" w:rsidR="001702AE" w:rsidRDefault="001702AE" w:rsidP="006B54C7">
      <w:pPr>
        <w:pStyle w:val="BodyText"/>
      </w:pPr>
    </w:p>
    <w:p w14:paraId="6AF333AC" w14:textId="77777777" w:rsidR="001702AE" w:rsidRPr="004406C5" w:rsidRDefault="001702AE" w:rsidP="006B54C7">
      <w:pPr>
        <w:pStyle w:val="BodyText"/>
      </w:pPr>
    </w:p>
    <w:tbl>
      <w:tblPr>
        <w:tblStyle w:val="PlainTable2"/>
        <w:tblW w:w="9351" w:type="dxa"/>
        <w:tblLook w:val="04A0" w:firstRow="1" w:lastRow="0" w:firstColumn="1" w:lastColumn="0" w:noHBand="0" w:noVBand="1"/>
      </w:tblPr>
      <w:tblGrid>
        <w:gridCol w:w="5382"/>
        <w:gridCol w:w="3969"/>
      </w:tblGrid>
      <w:tr w:rsidR="001702AE" w14:paraId="4758C2DE" w14:textId="77777777" w:rsidTr="006B5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E6E3D9"/>
          </w:tcPr>
          <w:p w14:paraId="0F122D19" w14:textId="77777777" w:rsidR="001702AE" w:rsidRPr="00C829E6" w:rsidRDefault="001702AE" w:rsidP="006B54C7">
            <w:pPr>
              <w:spacing w:before="100" w:after="100"/>
              <w:rPr>
                <w:szCs w:val="24"/>
              </w:rPr>
            </w:pPr>
            <w:r>
              <w:rPr>
                <w:szCs w:val="24"/>
              </w:rPr>
              <w:t>Clients with BNPL debts</w:t>
            </w:r>
          </w:p>
        </w:tc>
      </w:tr>
      <w:tr w:rsidR="001702AE" w14:paraId="163995E0"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33388DA0" w14:textId="77777777" w:rsidR="001702AE" w:rsidRPr="00C829E6" w:rsidRDefault="001702AE" w:rsidP="006B54C7">
            <w:pPr>
              <w:spacing w:before="100" w:after="100"/>
              <w:rPr>
                <w:szCs w:val="24"/>
              </w:rPr>
            </w:pPr>
            <w:r>
              <w:rPr>
                <w:szCs w:val="24"/>
              </w:rPr>
              <w:t>With</w:t>
            </w:r>
            <w:r w:rsidRPr="00C829E6">
              <w:rPr>
                <w:szCs w:val="24"/>
              </w:rPr>
              <w:t xml:space="preserve"> credit or debt issues or arrears</w:t>
            </w:r>
          </w:p>
        </w:tc>
        <w:tc>
          <w:tcPr>
            <w:tcW w:w="3969" w:type="dxa"/>
          </w:tcPr>
          <w:p w14:paraId="1B9DF7D6" w14:textId="77777777" w:rsidR="001702AE" w:rsidRPr="00C829E6" w:rsidRDefault="001702AE" w:rsidP="006B54C7">
            <w:pPr>
              <w:spacing w:before="100" w:after="100"/>
              <w:jc w:val="center"/>
              <w:cnfStyle w:val="000000100000" w:firstRow="0" w:lastRow="0" w:firstColumn="0" w:lastColumn="0" w:oddVBand="0" w:evenVBand="0" w:oddHBand="1" w:evenHBand="0" w:firstRowFirstColumn="0" w:firstRowLastColumn="0" w:lastRowFirstColumn="0" w:lastRowLastColumn="0"/>
              <w:rPr>
                <w:szCs w:val="24"/>
              </w:rPr>
            </w:pPr>
            <w:r w:rsidRPr="00C829E6">
              <w:rPr>
                <w:szCs w:val="24"/>
              </w:rPr>
              <w:t>80%</w:t>
            </w:r>
          </w:p>
        </w:tc>
      </w:tr>
      <w:tr w:rsidR="001702AE" w14:paraId="38C7074B" w14:textId="77777777" w:rsidTr="006B54C7">
        <w:tc>
          <w:tcPr>
            <w:cnfStyle w:val="001000000000" w:firstRow="0" w:lastRow="0" w:firstColumn="1" w:lastColumn="0" w:oddVBand="0" w:evenVBand="0" w:oddHBand="0" w:evenHBand="0" w:firstRowFirstColumn="0" w:firstRowLastColumn="0" w:lastRowFirstColumn="0" w:lastRowLastColumn="0"/>
            <w:tcW w:w="5382" w:type="dxa"/>
          </w:tcPr>
          <w:p w14:paraId="3A3770A4" w14:textId="77777777" w:rsidR="001702AE" w:rsidRPr="00C829E6" w:rsidRDefault="001702AE" w:rsidP="006B54C7">
            <w:pPr>
              <w:spacing w:before="100" w:after="100"/>
              <w:rPr>
                <w:szCs w:val="24"/>
              </w:rPr>
            </w:pPr>
            <w:r w:rsidRPr="00C829E6">
              <w:rPr>
                <w:szCs w:val="24"/>
              </w:rPr>
              <w:t>Considering or pursuing bankruptcy</w:t>
            </w:r>
          </w:p>
        </w:tc>
        <w:tc>
          <w:tcPr>
            <w:tcW w:w="3969" w:type="dxa"/>
          </w:tcPr>
          <w:p w14:paraId="7BE91B3E" w14:textId="77777777" w:rsidR="001702AE" w:rsidRPr="00C829E6" w:rsidRDefault="001702AE" w:rsidP="006B54C7">
            <w:pPr>
              <w:spacing w:before="100" w:after="100"/>
              <w:jc w:val="center"/>
              <w:cnfStyle w:val="000000000000" w:firstRow="0" w:lastRow="0" w:firstColumn="0" w:lastColumn="0" w:oddVBand="0" w:evenVBand="0" w:oddHBand="0" w:evenHBand="0" w:firstRowFirstColumn="0" w:firstRowLastColumn="0" w:lastRowFirstColumn="0" w:lastRowLastColumn="0"/>
              <w:rPr>
                <w:szCs w:val="24"/>
              </w:rPr>
            </w:pPr>
            <w:r w:rsidRPr="00C829E6">
              <w:rPr>
                <w:szCs w:val="24"/>
              </w:rPr>
              <w:t>15%</w:t>
            </w:r>
          </w:p>
        </w:tc>
      </w:tr>
      <w:tr w:rsidR="001702AE" w14:paraId="2D69643F"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66FA622" w14:textId="77777777" w:rsidR="001702AE" w:rsidRPr="00C829E6" w:rsidRDefault="001702AE" w:rsidP="006B54C7">
            <w:pPr>
              <w:spacing w:before="100" w:after="100"/>
              <w:rPr>
                <w:szCs w:val="24"/>
              </w:rPr>
            </w:pPr>
            <w:r>
              <w:rPr>
                <w:szCs w:val="24"/>
              </w:rPr>
              <w:t xml:space="preserve">With </w:t>
            </w:r>
            <w:r w:rsidRPr="00C829E6">
              <w:rPr>
                <w:szCs w:val="24"/>
              </w:rPr>
              <w:t>more than one BNPL debt</w:t>
            </w:r>
          </w:p>
        </w:tc>
        <w:tc>
          <w:tcPr>
            <w:tcW w:w="3969" w:type="dxa"/>
          </w:tcPr>
          <w:p w14:paraId="444530AE" w14:textId="77777777" w:rsidR="001702AE" w:rsidRPr="00C829E6" w:rsidRDefault="001702AE" w:rsidP="006B54C7">
            <w:pPr>
              <w:spacing w:before="100" w:after="100"/>
              <w:jc w:val="center"/>
              <w:cnfStyle w:val="000000100000" w:firstRow="0" w:lastRow="0" w:firstColumn="0" w:lastColumn="0" w:oddVBand="0" w:evenVBand="0" w:oddHBand="1" w:evenHBand="0" w:firstRowFirstColumn="0" w:firstRowLastColumn="0" w:lastRowFirstColumn="0" w:lastRowLastColumn="0"/>
              <w:rPr>
                <w:szCs w:val="24"/>
              </w:rPr>
            </w:pPr>
            <w:r w:rsidRPr="00C829E6">
              <w:rPr>
                <w:szCs w:val="24"/>
              </w:rPr>
              <w:t>50%</w:t>
            </w:r>
          </w:p>
        </w:tc>
      </w:tr>
      <w:tr w:rsidR="001702AE" w14:paraId="14434853" w14:textId="77777777" w:rsidTr="006B54C7">
        <w:tc>
          <w:tcPr>
            <w:cnfStyle w:val="001000000000" w:firstRow="0" w:lastRow="0" w:firstColumn="1" w:lastColumn="0" w:oddVBand="0" w:evenVBand="0" w:oddHBand="0" w:evenHBand="0" w:firstRowFirstColumn="0" w:firstRowLastColumn="0" w:lastRowFirstColumn="0" w:lastRowLastColumn="0"/>
            <w:tcW w:w="5382" w:type="dxa"/>
          </w:tcPr>
          <w:p w14:paraId="3F3780FB" w14:textId="77777777" w:rsidR="001702AE" w:rsidRPr="00C829E6" w:rsidRDefault="001702AE" w:rsidP="006B54C7">
            <w:pPr>
              <w:spacing w:before="100" w:after="100"/>
              <w:rPr>
                <w:szCs w:val="24"/>
              </w:rPr>
            </w:pPr>
            <w:r>
              <w:rPr>
                <w:szCs w:val="24"/>
              </w:rPr>
              <w:t>With</w:t>
            </w:r>
            <w:r w:rsidRPr="00C829E6">
              <w:rPr>
                <w:szCs w:val="24"/>
              </w:rPr>
              <w:t xml:space="preserve"> non-BNPL debts in addition to BNPL debts</w:t>
            </w:r>
          </w:p>
        </w:tc>
        <w:tc>
          <w:tcPr>
            <w:tcW w:w="3969" w:type="dxa"/>
          </w:tcPr>
          <w:p w14:paraId="4F5BEA95" w14:textId="77777777" w:rsidR="001702AE" w:rsidRPr="00C829E6" w:rsidRDefault="001702AE" w:rsidP="006B54C7">
            <w:pPr>
              <w:spacing w:before="100" w:after="100"/>
              <w:jc w:val="center"/>
              <w:cnfStyle w:val="000000000000" w:firstRow="0" w:lastRow="0" w:firstColumn="0" w:lastColumn="0" w:oddVBand="0" w:evenVBand="0" w:oddHBand="0" w:evenHBand="0" w:firstRowFirstColumn="0" w:firstRowLastColumn="0" w:lastRowFirstColumn="0" w:lastRowLastColumn="0"/>
              <w:rPr>
                <w:szCs w:val="24"/>
              </w:rPr>
            </w:pPr>
            <w:r w:rsidRPr="00C829E6">
              <w:rPr>
                <w:szCs w:val="24"/>
              </w:rPr>
              <w:t>95%</w:t>
            </w:r>
          </w:p>
        </w:tc>
      </w:tr>
      <w:tr w:rsidR="001702AE" w14:paraId="1240BD7F"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743A44BB" w14:textId="77777777" w:rsidR="001702AE" w:rsidRPr="00C829E6" w:rsidRDefault="001702AE" w:rsidP="006B54C7">
            <w:pPr>
              <w:spacing w:before="100" w:after="100"/>
              <w:rPr>
                <w:szCs w:val="24"/>
              </w:rPr>
            </w:pPr>
            <w:r>
              <w:rPr>
                <w:szCs w:val="24"/>
              </w:rPr>
              <w:t>With</w:t>
            </w:r>
            <w:r w:rsidRPr="00C829E6">
              <w:rPr>
                <w:szCs w:val="24"/>
              </w:rPr>
              <w:t xml:space="preserve"> more than one non-BNPL debt</w:t>
            </w:r>
          </w:p>
        </w:tc>
        <w:tc>
          <w:tcPr>
            <w:tcW w:w="3969" w:type="dxa"/>
          </w:tcPr>
          <w:p w14:paraId="7A6BBD0E" w14:textId="77777777" w:rsidR="001702AE" w:rsidRPr="00C829E6" w:rsidRDefault="001702AE" w:rsidP="006B54C7">
            <w:pPr>
              <w:spacing w:before="100" w:after="100"/>
              <w:jc w:val="center"/>
              <w:cnfStyle w:val="000000100000" w:firstRow="0" w:lastRow="0" w:firstColumn="0" w:lastColumn="0" w:oddVBand="0" w:evenVBand="0" w:oddHBand="1" w:evenHBand="0" w:firstRowFirstColumn="0" w:firstRowLastColumn="0" w:lastRowFirstColumn="0" w:lastRowLastColumn="0"/>
              <w:rPr>
                <w:szCs w:val="24"/>
              </w:rPr>
            </w:pPr>
            <w:r w:rsidRPr="00C829E6">
              <w:rPr>
                <w:szCs w:val="24"/>
              </w:rPr>
              <w:t>84%</w:t>
            </w:r>
          </w:p>
        </w:tc>
      </w:tr>
      <w:tr w:rsidR="001702AE" w14:paraId="7F6B33F5" w14:textId="77777777" w:rsidTr="006B54C7">
        <w:tc>
          <w:tcPr>
            <w:cnfStyle w:val="001000000000" w:firstRow="0" w:lastRow="0" w:firstColumn="1" w:lastColumn="0" w:oddVBand="0" w:evenVBand="0" w:oddHBand="0" w:evenHBand="0" w:firstRowFirstColumn="0" w:firstRowLastColumn="0" w:lastRowFirstColumn="0" w:lastRowLastColumn="0"/>
            <w:tcW w:w="5382" w:type="dxa"/>
          </w:tcPr>
          <w:p w14:paraId="58B26AE8" w14:textId="77777777" w:rsidR="001702AE" w:rsidRPr="00C829E6" w:rsidRDefault="001702AE" w:rsidP="006B54C7">
            <w:pPr>
              <w:spacing w:before="100" w:after="100"/>
              <w:rPr>
                <w:szCs w:val="24"/>
              </w:rPr>
            </w:pPr>
            <w:r>
              <w:rPr>
                <w:szCs w:val="24"/>
              </w:rPr>
              <w:t>D</w:t>
            </w:r>
            <w:r w:rsidRPr="00C829E6">
              <w:rPr>
                <w:szCs w:val="24"/>
              </w:rPr>
              <w:t xml:space="preserve">ifferent BNPL products </w:t>
            </w:r>
            <w:r>
              <w:rPr>
                <w:szCs w:val="24"/>
              </w:rPr>
              <w:t>used</w:t>
            </w:r>
          </w:p>
        </w:tc>
        <w:tc>
          <w:tcPr>
            <w:tcW w:w="3969" w:type="dxa"/>
          </w:tcPr>
          <w:p w14:paraId="4FBC21D8" w14:textId="77777777" w:rsidR="001702AE" w:rsidRPr="00C829E6" w:rsidRDefault="001702AE" w:rsidP="006B54C7">
            <w:pPr>
              <w:spacing w:before="100" w:after="100"/>
              <w:jc w:val="center"/>
              <w:cnfStyle w:val="000000000000" w:firstRow="0" w:lastRow="0" w:firstColumn="0" w:lastColumn="0" w:oddVBand="0" w:evenVBand="0" w:oddHBand="0" w:evenHBand="0" w:firstRowFirstColumn="0" w:firstRowLastColumn="0" w:lastRowFirstColumn="0" w:lastRowLastColumn="0"/>
              <w:rPr>
                <w:szCs w:val="24"/>
              </w:rPr>
            </w:pPr>
            <w:r w:rsidRPr="00C829E6">
              <w:rPr>
                <w:szCs w:val="24"/>
              </w:rPr>
              <w:t>12 products</w:t>
            </w:r>
          </w:p>
        </w:tc>
      </w:tr>
      <w:tr w:rsidR="001702AE" w14:paraId="7DAA5A7D"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EB52BB3" w14:textId="77777777" w:rsidR="001702AE" w:rsidRPr="00C829E6" w:rsidRDefault="001702AE" w:rsidP="006B54C7">
            <w:pPr>
              <w:spacing w:before="100" w:after="100"/>
              <w:rPr>
                <w:szCs w:val="24"/>
              </w:rPr>
            </w:pPr>
            <w:r w:rsidRPr="00C829E6">
              <w:rPr>
                <w:szCs w:val="24"/>
              </w:rPr>
              <w:t xml:space="preserve">Average value of BNPL debts </w:t>
            </w:r>
          </w:p>
        </w:tc>
        <w:tc>
          <w:tcPr>
            <w:tcW w:w="3969" w:type="dxa"/>
          </w:tcPr>
          <w:p w14:paraId="175A48DF" w14:textId="77777777" w:rsidR="001702AE" w:rsidRPr="00C829E6" w:rsidRDefault="001702AE" w:rsidP="006B54C7">
            <w:pPr>
              <w:spacing w:before="100" w:after="100"/>
              <w:jc w:val="center"/>
              <w:cnfStyle w:val="000000100000" w:firstRow="0" w:lastRow="0" w:firstColumn="0" w:lastColumn="0" w:oddVBand="0" w:evenVBand="0" w:oddHBand="1" w:evenHBand="0" w:firstRowFirstColumn="0" w:firstRowLastColumn="0" w:lastRowFirstColumn="0" w:lastRowLastColumn="0"/>
              <w:rPr>
                <w:szCs w:val="24"/>
              </w:rPr>
            </w:pPr>
            <w:r w:rsidRPr="00C829E6">
              <w:rPr>
                <w:szCs w:val="24"/>
              </w:rPr>
              <w:t>$2,200</w:t>
            </w:r>
          </w:p>
        </w:tc>
      </w:tr>
      <w:tr w:rsidR="001702AE" w14:paraId="3733CA0D" w14:textId="77777777" w:rsidTr="006B54C7">
        <w:tc>
          <w:tcPr>
            <w:cnfStyle w:val="001000000000" w:firstRow="0" w:lastRow="0" w:firstColumn="1" w:lastColumn="0" w:oddVBand="0" w:evenVBand="0" w:oddHBand="0" w:evenHBand="0" w:firstRowFirstColumn="0" w:firstRowLastColumn="0" w:lastRowFirstColumn="0" w:lastRowLastColumn="0"/>
            <w:tcW w:w="5382" w:type="dxa"/>
          </w:tcPr>
          <w:p w14:paraId="0B5E788E" w14:textId="77777777" w:rsidR="001702AE" w:rsidRPr="00C829E6" w:rsidRDefault="001702AE" w:rsidP="006B54C7">
            <w:pPr>
              <w:spacing w:before="100" w:after="100"/>
              <w:rPr>
                <w:szCs w:val="24"/>
              </w:rPr>
            </w:pPr>
            <w:r w:rsidRPr="00C829E6">
              <w:rPr>
                <w:szCs w:val="24"/>
              </w:rPr>
              <w:t xml:space="preserve">Average number of BNPL debts </w:t>
            </w:r>
          </w:p>
        </w:tc>
        <w:tc>
          <w:tcPr>
            <w:tcW w:w="3969" w:type="dxa"/>
          </w:tcPr>
          <w:p w14:paraId="42439EE7" w14:textId="77777777" w:rsidR="001702AE" w:rsidRPr="00C829E6" w:rsidRDefault="001702AE" w:rsidP="006B54C7">
            <w:pPr>
              <w:spacing w:before="100" w:after="100"/>
              <w:jc w:val="center"/>
              <w:cnfStyle w:val="000000000000" w:firstRow="0" w:lastRow="0" w:firstColumn="0" w:lastColumn="0" w:oddVBand="0" w:evenVBand="0" w:oddHBand="0" w:evenHBand="0" w:firstRowFirstColumn="0" w:firstRowLastColumn="0" w:lastRowFirstColumn="0" w:lastRowLastColumn="0"/>
              <w:rPr>
                <w:szCs w:val="24"/>
              </w:rPr>
            </w:pPr>
            <w:r>
              <w:rPr>
                <w:szCs w:val="24"/>
              </w:rPr>
              <w:t>2</w:t>
            </w:r>
            <w:r w:rsidRPr="00C829E6">
              <w:rPr>
                <w:szCs w:val="24"/>
              </w:rPr>
              <w:t xml:space="preserve"> debts</w:t>
            </w:r>
          </w:p>
        </w:tc>
      </w:tr>
      <w:tr w:rsidR="001702AE" w14:paraId="6AEFBB0F"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58DB2F29" w14:textId="77777777" w:rsidR="001702AE" w:rsidRPr="00C829E6" w:rsidRDefault="001702AE" w:rsidP="006B54C7">
            <w:pPr>
              <w:spacing w:before="100" w:after="100"/>
              <w:rPr>
                <w:szCs w:val="24"/>
              </w:rPr>
            </w:pPr>
            <w:r w:rsidRPr="00C829E6">
              <w:rPr>
                <w:szCs w:val="24"/>
              </w:rPr>
              <w:t xml:space="preserve">Average value of non-BNPL debts </w:t>
            </w:r>
          </w:p>
        </w:tc>
        <w:tc>
          <w:tcPr>
            <w:tcW w:w="3969" w:type="dxa"/>
          </w:tcPr>
          <w:p w14:paraId="6BAD1AF3" w14:textId="77777777" w:rsidR="001702AE" w:rsidRPr="00C829E6" w:rsidRDefault="001702AE" w:rsidP="006B54C7">
            <w:pPr>
              <w:spacing w:before="100" w:after="100"/>
              <w:jc w:val="center"/>
              <w:cnfStyle w:val="000000100000" w:firstRow="0" w:lastRow="0" w:firstColumn="0" w:lastColumn="0" w:oddVBand="0" w:evenVBand="0" w:oddHBand="1" w:evenHBand="0" w:firstRowFirstColumn="0" w:firstRowLastColumn="0" w:lastRowFirstColumn="0" w:lastRowLastColumn="0"/>
              <w:rPr>
                <w:szCs w:val="24"/>
              </w:rPr>
            </w:pPr>
            <w:r w:rsidRPr="00C829E6">
              <w:rPr>
                <w:szCs w:val="24"/>
              </w:rPr>
              <w:t>$14,400</w:t>
            </w:r>
          </w:p>
        </w:tc>
      </w:tr>
      <w:tr w:rsidR="001702AE" w14:paraId="7DD33154" w14:textId="77777777" w:rsidTr="006B54C7">
        <w:tc>
          <w:tcPr>
            <w:cnfStyle w:val="001000000000" w:firstRow="0" w:lastRow="0" w:firstColumn="1" w:lastColumn="0" w:oddVBand="0" w:evenVBand="0" w:oddHBand="0" w:evenHBand="0" w:firstRowFirstColumn="0" w:firstRowLastColumn="0" w:lastRowFirstColumn="0" w:lastRowLastColumn="0"/>
            <w:tcW w:w="5382" w:type="dxa"/>
          </w:tcPr>
          <w:p w14:paraId="09E8261D" w14:textId="77777777" w:rsidR="001702AE" w:rsidRPr="00C829E6" w:rsidRDefault="001702AE" w:rsidP="006B54C7">
            <w:pPr>
              <w:spacing w:before="100" w:after="100"/>
              <w:rPr>
                <w:szCs w:val="24"/>
              </w:rPr>
            </w:pPr>
            <w:r w:rsidRPr="00C829E6">
              <w:rPr>
                <w:szCs w:val="24"/>
              </w:rPr>
              <w:t>Average number of non-BNPL debts</w:t>
            </w:r>
          </w:p>
        </w:tc>
        <w:tc>
          <w:tcPr>
            <w:tcW w:w="3969" w:type="dxa"/>
          </w:tcPr>
          <w:p w14:paraId="2A0ADD29" w14:textId="77777777" w:rsidR="001702AE" w:rsidRPr="00C829E6" w:rsidRDefault="001702AE" w:rsidP="006B54C7">
            <w:pPr>
              <w:spacing w:before="100" w:after="100"/>
              <w:jc w:val="center"/>
              <w:cnfStyle w:val="000000000000" w:firstRow="0" w:lastRow="0" w:firstColumn="0" w:lastColumn="0" w:oddVBand="0" w:evenVBand="0" w:oddHBand="0" w:evenHBand="0" w:firstRowFirstColumn="0" w:firstRowLastColumn="0" w:lastRowFirstColumn="0" w:lastRowLastColumn="0"/>
              <w:rPr>
                <w:szCs w:val="24"/>
              </w:rPr>
            </w:pPr>
            <w:r>
              <w:rPr>
                <w:szCs w:val="24"/>
              </w:rPr>
              <w:t>4</w:t>
            </w:r>
            <w:r w:rsidRPr="00C829E6">
              <w:rPr>
                <w:szCs w:val="24"/>
              </w:rPr>
              <w:t xml:space="preserve"> debts</w:t>
            </w:r>
          </w:p>
        </w:tc>
      </w:tr>
      <w:tr w:rsidR="001702AE" w14:paraId="712DB583" w14:textId="77777777" w:rsidTr="006B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2A184FA4" w14:textId="77777777" w:rsidR="001702AE" w:rsidRPr="00C829E6" w:rsidRDefault="001702AE" w:rsidP="006B54C7">
            <w:pPr>
              <w:spacing w:before="100" w:after="100"/>
              <w:rPr>
                <w:szCs w:val="24"/>
              </w:rPr>
            </w:pPr>
            <w:r w:rsidRPr="00C829E6">
              <w:rPr>
                <w:szCs w:val="24"/>
              </w:rPr>
              <w:t>Different types of non-BNPL debts</w:t>
            </w:r>
          </w:p>
        </w:tc>
        <w:tc>
          <w:tcPr>
            <w:tcW w:w="3969" w:type="dxa"/>
          </w:tcPr>
          <w:p w14:paraId="01B3FE41" w14:textId="77777777" w:rsidR="001702AE" w:rsidRPr="00C829E6" w:rsidRDefault="001702AE" w:rsidP="006B54C7">
            <w:pPr>
              <w:spacing w:before="100" w:after="100"/>
              <w:jc w:val="center"/>
              <w:cnfStyle w:val="000000100000" w:firstRow="0" w:lastRow="0" w:firstColumn="0" w:lastColumn="0" w:oddVBand="0" w:evenVBand="0" w:oddHBand="1" w:evenHBand="0" w:firstRowFirstColumn="0" w:firstRowLastColumn="0" w:lastRowFirstColumn="0" w:lastRowLastColumn="0"/>
              <w:rPr>
                <w:szCs w:val="24"/>
              </w:rPr>
            </w:pPr>
            <w:r w:rsidRPr="00C829E6">
              <w:rPr>
                <w:szCs w:val="24"/>
              </w:rPr>
              <w:t>16 debt types</w:t>
            </w:r>
          </w:p>
        </w:tc>
      </w:tr>
    </w:tbl>
    <w:p w14:paraId="019961C0" w14:textId="77777777" w:rsidR="001702AE" w:rsidRPr="00897DAA" w:rsidRDefault="001702AE" w:rsidP="006B54C7">
      <w:pPr>
        <w:rPr>
          <w:sz w:val="12"/>
          <w:szCs w:val="12"/>
        </w:rPr>
      </w:pPr>
    </w:p>
    <w:p w14:paraId="7447B03B" w14:textId="77777777" w:rsidR="001702AE" w:rsidRDefault="001702AE">
      <w:pPr>
        <w:spacing w:before="0" w:after="0"/>
        <w:rPr>
          <w:rFonts w:ascii="Avenir Next Demi Bold" w:eastAsia="AvenirNextLTPro-Demi" w:hAnsi="Avenir Next Demi Bold" w:cs="AvenirNextLTPro-Demi"/>
          <w:b/>
          <w:color w:val="248EB9"/>
          <w:spacing w:val="-6"/>
          <w:sz w:val="36"/>
          <w:szCs w:val="36"/>
        </w:rPr>
      </w:pPr>
      <w:r>
        <w:br w:type="page"/>
      </w:r>
    </w:p>
    <w:p w14:paraId="7D40AB16" w14:textId="77777777" w:rsidR="001702AE" w:rsidRDefault="001702AE" w:rsidP="006B54C7">
      <w:pPr>
        <w:pStyle w:val="Heading2"/>
      </w:pPr>
      <w:bookmarkStart w:id="11" w:name="_Toc131232839"/>
      <w:r w:rsidRPr="00693605">
        <w:lastRenderedPageBreak/>
        <w:t>What we recommend</w:t>
      </w:r>
      <w:bookmarkEnd w:id="11"/>
    </w:p>
    <w:p w14:paraId="34F066B3" w14:textId="77777777" w:rsidR="001702AE" w:rsidRDefault="001702AE" w:rsidP="006B54C7">
      <w:pPr>
        <w:spacing w:after="240"/>
      </w:pPr>
      <w:r w:rsidRPr="00A56142">
        <w:t xml:space="preserve">BNPL </w:t>
      </w:r>
      <w:r>
        <w:t xml:space="preserve">products </w:t>
      </w:r>
      <w:r w:rsidRPr="00A56142">
        <w:t>can be harmful for people</w:t>
      </w:r>
      <w:r>
        <w:t xml:space="preserve"> who are</w:t>
      </w:r>
      <w:r w:rsidRPr="00A56142">
        <w:t xml:space="preserve"> in financial stress or </w:t>
      </w:r>
      <w:r>
        <w:t>experiencing</w:t>
      </w:r>
      <w:r w:rsidRPr="00A56142">
        <w:t xml:space="preserve"> social </w:t>
      </w:r>
      <w:r>
        <w:t xml:space="preserve">and </w:t>
      </w:r>
      <w:r w:rsidRPr="00A56142">
        <w:t>economic disadvantage</w:t>
      </w:r>
      <w:r>
        <w:t>.</w:t>
      </w:r>
      <w:r w:rsidRPr="00A56142">
        <w:t xml:space="preserve"> </w:t>
      </w:r>
      <w:r>
        <w:t xml:space="preserve">Our research has highlighted two problems: inadequate regulation of BNPL and the fact that many people facing social and economic disadvantage are struggling to make ends meet on inadequate income support payments. We also </w:t>
      </w:r>
      <w:r w:rsidRPr="00A56142">
        <w:t>acknowledg</w:t>
      </w:r>
      <w:r>
        <w:t>e</w:t>
      </w:r>
      <w:r w:rsidRPr="00A56142">
        <w:t xml:space="preserve"> the </w:t>
      </w:r>
      <w:r>
        <w:t>importance of ensuring</w:t>
      </w:r>
      <w:r w:rsidRPr="00A56142">
        <w:t xml:space="preserve"> access to safe, fair and affordable credit options</w:t>
      </w:r>
      <w:r>
        <w:t xml:space="preserve"> for everyone. </w:t>
      </w:r>
    </w:p>
    <w:p w14:paraId="05A0B6AD" w14:textId="77777777" w:rsidR="001702AE" w:rsidRDefault="001702AE" w:rsidP="006B54C7">
      <w:pPr>
        <w:spacing w:after="240"/>
      </w:pPr>
      <w:r>
        <w:t>In light of this,</w:t>
      </w:r>
      <w:r w:rsidRPr="00A56142">
        <w:t xml:space="preserve"> we recommend that:</w:t>
      </w:r>
    </w:p>
    <w:p w14:paraId="018CAF91" w14:textId="77777777" w:rsidR="001702AE" w:rsidRPr="00B0567E" w:rsidRDefault="001702AE" w:rsidP="00B0567E">
      <w:pPr>
        <w:pStyle w:val="ListParagraph"/>
        <w:numPr>
          <w:ilvl w:val="0"/>
          <w:numId w:val="21"/>
        </w:numPr>
        <w:rPr>
          <w:b/>
          <w:color w:val="248EB9"/>
          <w:sz w:val="28"/>
        </w:rPr>
      </w:pPr>
      <w:r w:rsidRPr="00B07E4C">
        <w:t xml:space="preserve">The Australian Government increase </w:t>
      </w:r>
      <w:r>
        <w:t>i</w:t>
      </w:r>
      <w:r w:rsidRPr="00B07E4C">
        <w:t xml:space="preserve">ncome </w:t>
      </w:r>
      <w:r>
        <w:t>s</w:t>
      </w:r>
      <w:r w:rsidRPr="00B07E4C">
        <w:t xml:space="preserve">upport </w:t>
      </w:r>
      <w:r>
        <w:t>p</w:t>
      </w:r>
      <w:r w:rsidRPr="00B07E4C">
        <w:t>ayments</w:t>
      </w:r>
      <w:r>
        <w:t xml:space="preserve"> above the poverty line</w:t>
      </w:r>
      <w:r w:rsidRPr="00B07E4C">
        <w:t xml:space="preserve"> as a matter of urgency</w:t>
      </w:r>
      <w:r>
        <w:t>, in order to reduce recipients’ risk of experiencing financial stress and exposure to unmanageable debt accrued from BNPLs and high</w:t>
      </w:r>
      <w:r>
        <w:noBreakHyphen/>
        <w:t>cost credit products.</w:t>
      </w:r>
    </w:p>
    <w:p w14:paraId="0D38014E" w14:textId="4477F37B" w:rsidR="001702AE" w:rsidRPr="00DA04D0" w:rsidRDefault="001702AE" w:rsidP="00B0567E">
      <w:pPr>
        <w:pStyle w:val="ListParagraph"/>
        <w:rPr>
          <w:b/>
          <w:color w:val="248EB9"/>
          <w:sz w:val="28"/>
        </w:rPr>
      </w:pPr>
      <w:proofErr w:type="gramStart"/>
      <w:r w:rsidRPr="00B07E4C">
        <w:t>Treasury</w:t>
      </w:r>
      <w:proofErr w:type="gramEnd"/>
      <w:r w:rsidRPr="00B07E4C">
        <w:t xml:space="preserve"> regulate </w:t>
      </w:r>
      <w:r>
        <w:t>BNPL</w:t>
      </w:r>
      <w:r w:rsidRPr="00B07E4C">
        <w:t xml:space="preserve"> in accordance with Option 3 in the</w:t>
      </w:r>
      <w:r>
        <w:t>ir</w:t>
      </w:r>
      <w:r w:rsidRPr="00B07E4C">
        <w:t xml:space="preserve"> </w:t>
      </w:r>
      <w:r w:rsidRPr="00DA04D0">
        <w:rPr>
          <w:i/>
        </w:rPr>
        <w:t>Options Paper</w:t>
      </w:r>
      <w:r w:rsidRPr="00B07E4C">
        <w:t xml:space="preserve"> –</w:t>
      </w:r>
      <w:r w:rsidR="00AF140E">
        <w:t xml:space="preserve"> </w:t>
      </w:r>
      <w:r w:rsidRPr="00B07E4C">
        <w:t>bring</w:t>
      </w:r>
      <w:r>
        <w:t>ing</w:t>
      </w:r>
      <w:r w:rsidRPr="00B07E4C">
        <w:t xml:space="preserve"> BNPL</w:t>
      </w:r>
      <w:r>
        <w:t xml:space="preserve"> under the </w:t>
      </w:r>
      <w:r w:rsidRPr="00DA04D0">
        <w:rPr>
          <w:i/>
        </w:rPr>
        <w:t>National Consumer Credit Protection Act 2009</w:t>
      </w:r>
      <w:r w:rsidRPr="00B07E4C">
        <w:t>.</w:t>
      </w:r>
      <w:r w:rsidRPr="00A226AE">
        <w:rPr>
          <w:rStyle w:val="FootnoteReference"/>
        </w:rPr>
        <w:footnoteReference w:id="2"/>
      </w:r>
      <w:r w:rsidRPr="00DA04D0">
        <w:rPr>
          <w:b/>
          <w:sz w:val="28"/>
        </w:rPr>
        <w:t xml:space="preserve"> </w:t>
      </w:r>
    </w:p>
    <w:p w14:paraId="3896C695" w14:textId="77777777" w:rsidR="001702AE" w:rsidRPr="00DA04D0" w:rsidRDefault="001702AE" w:rsidP="00B0567E">
      <w:pPr>
        <w:pStyle w:val="ListParagraph"/>
        <w:rPr>
          <w:b/>
          <w:color w:val="248EB9"/>
          <w:sz w:val="28"/>
        </w:rPr>
      </w:pPr>
      <w:r>
        <w:t>For people facing financial stress or disadvantage, improve access to services such as the No Interest Loan Scheme (NILS) which have promotion of the interests and wellbeing of the ‘borrower’ as their primary aim. This includes:</w:t>
      </w:r>
    </w:p>
    <w:p w14:paraId="0B4D1EC8" w14:textId="77777777" w:rsidR="001702AE" w:rsidRPr="00DA04D0" w:rsidRDefault="001702AE" w:rsidP="005D72F8">
      <w:pPr>
        <w:pStyle w:val="Bullets"/>
      </w:pPr>
      <w:r w:rsidRPr="00DA04D0">
        <w:t>exploring options to integrate features of fintech into such credit products</w:t>
      </w:r>
    </w:p>
    <w:p w14:paraId="28A295F5" w14:textId="77777777" w:rsidR="001702AE" w:rsidRPr="00DA04D0" w:rsidRDefault="001702AE" w:rsidP="005D72F8">
      <w:pPr>
        <w:pStyle w:val="Bullets"/>
      </w:pPr>
      <w:r w:rsidRPr="00DA04D0">
        <w:t>expanding the funds available for the No Interest Loan Scheme (NILS)</w:t>
      </w:r>
    </w:p>
    <w:p w14:paraId="005F8D6F" w14:textId="77777777" w:rsidR="001702AE" w:rsidRPr="00DA04D0" w:rsidRDefault="001702AE" w:rsidP="005D72F8">
      <w:pPr>
        <w:pStyle w:val="Bullets"/>
      </w:pPr>
      <w:r w:rsidRPr="00DA04D0">
        <w:t>regulatory and funding support from the public sector to support expanded access</w:t>
      </w:r>
    </w:p>
    <w:p w14:paraId="6CC17BFE" w14:textId="77777777" w:rsidR="001702AE" w:rsidRPr="00D37F93" w:rsidRDefault="001702AE" w:rsidP="005D72F8">
      <w:pPr>
        <w:pStyle w:val="Bullets"/>
        <w:rPr>
          <w:b/>
          <w:color w:val="248EB9"/>
          <w:sz w:val="28"/>
        </w:rPr>
      </w:pPr>
      <w:r w:rsidRPr="00DA04D0">
        <w:t>appropriate</w:t>
      </w:r>
      <w:r w:rsidRPr="004406C5">
        <w:t xml:space="preserve"> partnerships</w:t>
      </w:r>
      <w:r>
        <w:t xml:space="preserve"> with commercial credit providers.</w:t>
      </w:r>
    </w:p>
    <w:p w14:paraId="55BEA09B" w14:textId="77777777" w:rsidR="001702AE" w:rsidRPr="00DA04D0" w:rsidRDefault="001702AE" w:rsidP="00B0567E">
      <w:pPr>
        <w:pStyle w:val="ListParagraph"/>
        <w:rPr>
          <w:b/>
          <w:color w:val="248EB9"/>
          <w:sz w:val="28"/>
        </w:rPr>
      </w:pPr>
      <w:r>
        <w:t>Treasury acts to reduce financial abuse by perpetrators of family violence by:</w:t>
      </w:r>
    </w:p>
    <w:p w14:paraId="0D2440BD" w14:textId="77777777" w:rsidR="001702AE" w:rsidRPr="00DA04D0" w:rsidRDefault="001702AE" w:rsidP="005D72F8">
      <w:pPr>
        <w:pStyle w:val="Bullets"/>
      </w:pPr>
      <w:r w:rsidRPr="00DA04D0">
        <w:t>exploring options to better protect people from abuse by perpetrators using fintech products, including BNPL</w:t>
      </w:r>
    </w:p>
    <w:p w14:paraId="42D451C0" w14:textId="77777777" w:rsidR="001702AE" w:rsidRPr="00DA04D0" w:rsidRDefault="001702AE" w:rsidP="005D72F8">
      <w:pPr>
        <w:pStyle w:val="Bullets"/>
      </w:pPr>
      <w:r w:rsidRPr="00DA04D0">
        <w:t xml:space="preserve">making ‘reduced financial abuse’ an outcome of the National Financial Capability Strategy </w:t>
      </w:r>
    </w:p>
    <w:p w14:paraId="66510A57" w14:textId="77777777" w:rsidR="001702AE" w:rsidRPr="00D37F93" w:rsidRDefault="001702AE" w:rsidP="005D72F8">
      <w:pPr>
        <w:pStyle w:val="Bullets"/>
        <w:rPr>
          <w:b/>
          <w:color w:val="248EB9"/>
          <w:sz w:val="26"/>
        </w:rPr>
      </w:pPr>
      <w:r w:rsidRPr="00DA04D0">
        <w:t>developing</w:t>
      </w:r>
      <w:r w:rsidRPr="004406C5">
        <w:t xml:space="preserve"> and implementing initiatives under the </w:t>
      </w:r>
      <w:r>
        <w:t>S</w:t>
      </w:r>
      <w:r w:rsidRPr="004406C5">
        <w:t xml:space="preserve">trategy to help young people to understand and avoid perpetrating </w:t>
      </w:r>
      <w:r>
        <w:t>or experiencing financial abuse.</w:t>
      </w:r>
    </w:p>
    <w:p w14:paraId="4E069268" w14:textId="77777777" w:rsidR="001702AE" w:rsidRPr="00D37F93" w:rsidRDefault="001702AE" w:rsidP="006B54C7">
      <w:pPr>
        <w:spacing w:before="0" w:after="0"/>
        <w:ind w:left="1134" w:hanging="283"/>
        <w:rPr>
          <w:b/>
          <w:color w:val="248EB9"/>
          <w:szCs w:val="24"/>
        </w:rPr>
      </w:pPr>
      <w:r w:rsidRPr="00D37F93">
        <w:rPr>
          <w:b/>
          <w:color w:val="248EB9"/>
        </w:rPr>
        <w:br w:type="page"/>
      </w:r>
    </w:p>
    <w:p w14:paraId="6D2B81B6" w14:textId="77777777" w:rsidR="001702AE" w:rsidRDefault="001702AE" w:rsidP="006B54C7">
      <w:pPr>
        <w:pStyle w:val="Heading1"/>
      </w:pPr>
      <w:bookmarkStart w:id="12" w:name="_Toc131232840"/>
      <w:bookmarkStart w:id="13" w:name="_Toc130396310"/>
      <w:r>
        <w:lastRenderedPageBreak/>
        <w:t>1. Financial counselling and Buy Now Pay Later</w:t>
      </w:r>
      <w:bookmarkEnd w:id="12"/>
      <w:r>
        <w:t xml:space="preserve"> </w:t>
      </w:r>
      <w:bookmarkEnd w:id="13"/>
    </w:p>
    <w:p w14:paraId="391C0C78" w14:textId="77777777" w:rsidR="001702AE" w:rsidRDefault="001702AE" w:rsidP="006B54C7">
      <w:pPr>
        <w:pStyle w:val="Heading2"/>
      </w:pPr>
      <w:bookmarkStart w:id="14" w:name="_Toc130396311"/>
      <w:bookmarkStart w:id="15" w:name="_Toc131232841"/>
      <w:r>
        <w:t>1.1 Aims and benefits of financial counselling</w:t>
      </w:r>
      <w:bookmarkEnd w:id="14"/>
      <w:bookmarkEnd w:id="15"/>
    </w:p>
    <w:p w14:paraId="04171A0F" w14:textId="77777777" w:rsidR="001702AE" w:rsidRPr="001A4857" w:rsidRDefault="001702AE" w:rsidP="006B54C7">
      <w:pPr>
        <w:spacing w:after="240"/>
        <w:rPr>
          <w:szCs w:val="24"/>
        </w:rPr>
      </w:pPr>
      <w:r w:rsidRPr="000E07E8">
        <w:t xml:space="preserve">In Australia, financial counselling refers to </w:t>
      </w:r>
      <w:r>
        <w:t xml:space="preserve">charitable or </w:t>
      </w:r>
      <w:r w:rsidRPr="000E07E8">
        <w:t xml:space="preserve">government-funded free interventions for people experiencing financial </w:t>
      </w:r>
      <w:r>
        <w:t>difficulties</w:t>
      </w:r>
      <w:r w:rsidRPr="000E07E8">
        <w:t xml:space="preserve">. </w:t>
      </w:r>
      <w:r>
        <w:t>Emerging in the 1970s, financial counselling</w:t>
      </w:r>
      <w:r w:rsidRPr="000E07E8">
        <w:t xml:space="preserve"> has</w:t>
      </w:r>
      <w:r>
        <w:t xml:space="preserve"> its</w:t>
      </w:r>
      <w:r w:rsidRPr="000E07E8">
        <w:t xml:space="preserve"> roots in social justice and community development</w:t>
      </w:r>
      <w:r>
        <w:t xml:space="preserve"> principles</w:t>
      </w:r>
      <w:r w:rsidRPr="000E07E8">
        <w:t xml:space="preserve">, reflected in its </w:t>
      </w:r>
      <w:r>
        <w:t>mix of</w:t>
      </w:r>
      <w:r w:rsidRPr="000E07E8">
        <w:t xml:space="preserve"> advocacy, empowerment </w:t>
      </w:r>
      <w:r>
        <w:t xml:space="preserve">and </w:t>
      </w:r>
      <w:r w:rsidRPr="000E07E8">
        <w:t xml:space="preserve">education </w:t>
      </w:r>
      <w:r>
        <w:rPr>
          <w:noProof/>
        </w:rPr>
        <w:t>(Brackertz 2012; Livingstone et al. 2008)</w:t>
      </w:r>
      <w:r>
        <w:t xml:space="preserve">. </w:t>
      </w:r>
      <w:r>
        <w:rPr>
          <w:szCs w:val="24"/>
        </w:rPr>
        <w:t>Financial counselling</w:t>
      </w:r>
      <w:r w:rsidRPr="001A4857">
        <w:rPr>
          <w:szCs w:val="24"/>
        </w:rPr>
        <w:t xml:space="preserve"> is designed to address </w:t>
      </w:r>
      <w:r w:rsidRPr="002946EF">
        <w:rPr>
          <w:b/>
          <w:color w:val="248EB9"/>
          <w:szCs w:val="24"/>
        </w:rPr>
        <w:t>financial stress</w:t>
      </w:r>
      <w:r w:rsidRPr="002946EF">
        <w:rPr>
          <w:color w:val="248EB9"/>
          <w:szCs w:val="24"/>
        </w:rPr>
        <w:t xml:space="preserve"> </w:t>
      </w:r>
      <w:r w:rsidRPr="001A4857">
        <w:rPr>
          <w:szCs w:val="24"/>
        </w:rPr>
        <w:t>arising from</w:t>
      </w:r>
      <w:r>
        <w:rPr>
          <w:szCs w:val="24"/>
        </w:rPr>
        <w:t xml:space="preserve"> a range of different factors, including</w:t>
      </w:r>
      <w:r w:rsidRPr="001A4857">
        <w:rPr>
          <w:szCs w:val="24"/>
        </w:rPr>
        <w:t xml:space="preserve"> </w:t>
      </w:r>
      <w:r>
        <w:rPr>
          <w:szCs w:val="24"/>
        </w:rPr>
        <w:t>l</w:t>
      </w:r>
      <w:r w:rsidRPr="001A4857">
        <w:rPr>
          <w:szCs w:val="24"/>
        </w:rPr>
        <w:t>ow income</w:t>
      </w:r>
      <w:r>
        <w:rPr>
          <w:szCs w:val="24"/>
        </w:rPr>
        <w:t>, r</w:t>
      </w:r>
      <w:r w:rsidRPr="001A4857">
        <w:rPr>
          <w:szCs w:val="24"/>
        </w:rPr>
        <w:t>ising living costs</w:t>
      </w:r>
      <w:r>
        <w:rPr>
          <w:szCs w:val="24"/>
        </w:rPr>
        <w:t>, and/or m</w:t>
      </w:r>
      <w:r w:rsidRPr="001A4857">
        <w:rPr>
          <w:szCs w:val="24"/>
        </w:rPr>
        <w:t xml:space="preserve">ajor life events </w:t>
      </w:r>
      <w:r>
        <w:rPr>
          <w:szCs w:val="24"/>
        </w:rPr>
        <w:t xml:space="preserve">such as </w:t>
      </w:r>
      <w:r w:rsidRPr="001A4857">
        <w:rPr>
          <w:szCs w:val="24"/>
        </w:rPr>
        <w:t>relationship breakdown, illness o</w:t>
      </w:r>
      <w:r>
        <w:rPr>
          <w:szCs w:val="24"/>
        </w:rPr>
        <w:t>r</w:t>
      </w:r>
      <w:r w:rsidRPr="001A4857">
        <w:rPr>
          <w:szCs w:val="24"/>
        </w:rPr>
        <w:t xml:space="preserve"> </w:t>
      </w:r>
      <w:r>
        <w:rPr>
          <w:szCs w:val="24"/>
        </w:rPr>
        <w:t>bereavement.</w:t>
      </w:r>
    </w:p>
    <w:p w14:paraId="054F695A" w14:textId="77777777" w:rsidR="001702AE" w:rsidRPr="001A4857" w:rsidRDefault="001702AE" w:rsidP="006B54C7">
      <w:pPr>
        <w:spacing w:after="240"/>
        <w:rPr>
          <w:rFonts w:cstheme="minorHAnsi"/>
          <w:szCs w:val="24"/>
        </w:rPr>
      </w:pPr>
      <w:r w:rsidRPr="002946EF">
        <w:rPr>
          <w:b/>
          <w:color w:val="248EB9"/>
          <w:szCs w:val="24"/>
        </w:rPr>
        <w:t>Financial counsellors</w:t>
      </w:r>
      <w:r w:rsidRPr="001A4857">
        <w:rPr>
          <w:szCs w:val="24"/>
        </w:rPr>
        <w:t xml:space="preserve"> undertake a range of activities with clients, including</w:t>
      </w:r>
      <w:r w:rsidRPr="001A4857">
        <w:rPr>
          <w:rFonts w:cstheme="minorHAnsi"/>
          <w:szCs w:val="24"/>
        </w:rPr>
        <w:t xml:space="preserve">: </w:t>
      </w:r>
    </w:p>
    <w:p w14:paraId="52894223" w14:textId="77777777" w:rsidR="001702AE" w:rsidRPr="001A4857" w:rsidRDefault="001702AE" w:rsidP="005D72F8">
      <w:pPr>
        <w:pStyle w:val="Bullets"/>
      </w:pPr>
      <w:r>
        <w:t>h</w:t>
      </w:r>
      <w:r w:rsidRPr="001A4857">
        <w:t>elping with budgeting or income and expense management</w:t>
      </w:r>
    </w:p>
    <w:p w14:paraId="76BB2B81" w14:textId="77777777" w:rsidR="001702AE" w:rsidRPr="001A4857" w:rsidRDefault="001702AE" w:rsidP="005D72F8">
      <w:pPr>
        <w:pStyle w:val="Bullets"/>
      </w:pPr>
      <w:r>
        <w:t>a</w:t>
      </w:r>
      <w:r w:rsidRPr="001A4857">
        <w:t>ssessing eligibility for government assistance or rebates</w:t>
      </w:r>
    </w:p>
    <w:p w14:paraId="0580D832" w14:textId="77777777" w:rsidR="001702AE" w:rsidRPr="001A4857" w:rsidRDefault="001702AE" w:rsidP="005D72F8">
      <w:pPr>
        <w:pStyle w:val="Bullets"/>
      </w:pPr>
      <w:r>
        <w:t>n</w:t>
      </w:r>
      <w:r w:rsidRPr="001A4857">
        <w:t>egotiating repayment arrangements with creditors</w:t>
      </w:r>
    </w:p>
    <w:p w14:paraId="3AF2B208" w14:textId="77777777" w:rsidR="001702AE" w:rsidRDefault="001702AE" w:rsidP="005D72F8">
      <w:pPr>
        <w:pStyle w:val="Bullets"/>
      </w:pPr>
      <w:r>
        <w:t>e</w:t>
      </w:r>
      <w:r w:rsidRPr="001A4857">
        <w:t>xplaining options and consequences of processes such as debt recovery</w:t>
      </w:r>
    </w:p>
    <w:p w14:paraId="0BA4BBC5" w14:textId="77777777" w:rsidR="001702AE" w:rsidRPr="001A4857" w:rsidRDefault="001702AE" w:rsidP="005D72F8">
      <w:pPr>
        <w:pStyle w:val="Bullets"/>
      </w:pPr>
      <w:r>
        <w:t xml:space="preserve">assisting with applying for </w:t>
      </w:r>
      <w:r w:rsidRPr="001A4857">
        <w:t>bankruptcy</w:t>
      </w:r>
    </w:p>
    <w:p w14:paraId="49C42665" w14:textId="77777777" w:rsidR="001702AE" w:rsidRPr="001A4857" w:rsidRDefault="001702AE" w:rsidP="005D72F8">
      <w:pPr>
        <w:pStyle w:val="Bullets"/>
      </w:pPr>
      <w:r>
        <w:t>a</w:t>
      </w:r>
      <w:r w:rsidRPr="001A4857">
        <w:t>ssisting with applying for hardship variations</w:t>
      </w:r>
      <w:r>
        <w:t xml:space="preserve"> with creditors</w:t>
      </w:r>
    </w:p>
    <w:p w14:paraId="0501C284" w14:textId="77777777" w:rsidR="001702AE" w:rsidRPr="001A4857" w:rsidRDefault="001702AE" w:rsidP="005D72F8">
      <w:pPr>
        <w:pStyle w:val="Bullets"/>
      </w:pPr>
      <w:r>
        <w:t>p</w:t>
      </w:r>
      <w:r w:rsidRPr="001A4857">
        <w:t>roviding a referral to other services</w:t>
      </w:r>
    </w:p>
    <w:p w14:paraId="2F9002EB" w14:textId="77777777" w:rsidR="001702AE" w:rsidRPr="00AD7007" w:rsidRDefault="001702AE" w:rsidP="005D72F8">
      <w:pPr>
        <w:pStyle w:val="Bullets"/>
      </w:pPr>
      <w:r>
        <w:t>l</w:t>
      </w:r>
      <w:r w:rsidRPr="001A4857">
        <w:t>odging disputes with external bodies</w:t>
      </w:r>
      <w:r>
        <w:t xml:space="preserve"> </w:t>
      </w:r>
      <w:r>
        <w:rPr>
          <w:noProof/>
        </w:rPr>
        <w:t>(Sylvan 2019)</w:t>
      </w:r>
      <w:r w:rsidRPr="001A4857">
        <w:t>.</w:t>
      </w:r>
    </w:p>
    <w:p w14:paraId="42CCB75B" w14:textId="77777777" w:rsidR="001702AE" w:rsidRPr="0063622B" w:rsidRDefault="001702AE" w:rsidP="006B54C7">
      <w:pPr>
        <w:spacing w:before="360" w:after="240"/>
      </w:pPr>
      <w:r>
        <w:t>Refer to Box 1 below for a description of Anglicare Tasmania’s financial counselling services.</w:t>
      </w:r>
    </w:p>
    <w:p w14:paraId="42A2EA8F" w14:textId="77777777" w:rsidR="001702AE" w:rsidRPr="00032222" w:rsidRDefault="001702AE" w:rsidP="006B54C7">
      <w:r>
        <w:rPr>
          <w:noProof/>
        </w:rPr>
        <mc:AlternateContent>
          <mc:Choice Requires="wps">
            <w:drawing>
              <wp:anchor distT="45720" distB="45720" distL="114300" distR="114300" simplePos="0" relativeHeight="251669504" behindDoc="0" locked="0" layoutInCell="1" allowOverlap="1" wp14:anchorId="75B3E426" wp14:editId="78FB7B94">
                <wp:simplePos x="0" y="0"/>
                <wp:positionH relativeFrom="column">
                  <wp:posOffset>-16510</wp:posOffset>
                </wp:positionH>
                <wp:positionV relativeFrom="paragraph">
                  <wp:posOffset>1588135</wp:posOffset>
                </wp:positionV>
                <wp:extent cx="6276340" cy="168021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340" cy="1680210"/>
                        </a:xfrm>
                        <a:prstGeom prst="rect">
                          <a:avLst/>
                        </a:prstGeom>
                        <a:solidFill>
                          <a:srgbClr val="E6E3D9"/>
                        </a:solidFill>
                        <a:ln w="9525">
                          <a:noFill/>
                          <a:miter lim="800000"/>
                          <a:headEnd/>
                          <a:tailEnd/>
                        </a:ln>
                      </wps:spPr>
                      <wps:txbx>
                        <w:txbxContent>
                          <w:p w14:paraId="30B57B7C" w14:textId="77777777" w:rsidR="006B54C7" w:rsidRPr="003578C5" w:rsidRDefault="006B54C7" w:rsidP="006B54C7">
                            <w:pPr>
                              <w:ind w:firstLine="142"/>
                              <w:rPr>
                                <w:b/>
                              </w:rPr>
                            </w:pPr>
                            <w:r w:rsidRPr="003578C5">
                              <w:rPr>
                                <w:b/>
                              </w:rPr>
                              <w:t>Box 1: Anglicare Tasmania’s financial counselling services</w:t>
                            </w:r>
                          </w:p>
                          <w:p w14:paraId="3D4F10A0" w14:textId="77777777" w:rsidR="006B54C7" w:rsidRPr="003659BD" w:rsidRDefault="006B54C7" w:rsidP="006B54C7">
                            <w:pPr>
                              <w:ind w:left="142"/>
                            </w:pPr>
                            <w:r w:rsidRPr="003659BD">
                              <w:t xml:space="preserve">For 40 years, Anglicare Tasmania has been delivering free and confidential financial counselling services to Tasmanians. These services are accessed by contacting Anglicare Tasmania or the National Debt Helpline (Anglicare Tasmania is also the service provider for callers based in Tasmania) or via referrals from other agencies. These services are funded by the Australian Government and the Tasmanian Government. In 2022, </w:t>
                            </w:r>
                            <w:r w:rsidRPr="003659BD">
                              <w:rPr>
                                <w:rFonts w:cstheme="minorHAnsi"/>
                              </w:rPr>
                              <w:t>Anglicare Tasmania’s Financial Counsellors delivered over 4,700 service hours to more than 2,100 active clients.</w:t>
                            </w:r>
                          </w:p>
                          <w:p w14:paraId="1D3D9608" w14:textId="77777777" w:rsidR="006B54C7" w:rsidRDefault="006B54C7" w:rsidP="006B54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3E426" id="_x0000_s1027" type="#_x0000_t202" style="position:absolute;margin-left:-1.3pt;margin-top:125.05pt;width:494.2pt;height:132.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" fillcolor="#e6e3d9" stroked="f">
                <v:textbox>
                  <w:txbxContent>
                    <w:p w14:paraId="30B57B7C" w14:textId="77777777" w:rsidR="006B54C7" w:rsidRPr="003578C5" w:rsidRDefault="006B54C7" w:rsidP="006B54C7">
                      <w:pPr>
                        <w:ind w:firstLine="142"/>
                        <w:rPr>
                          <w:b/>
                        </w:rPr>
                      </w:pPr>
                      <w:r w:rsidRPr="003578C5">
                        <w:rPr>
                          <w:b/>
                        </w:rPr>
                        <w:t>Box 1: Anglicare Tasmania’s financial counselling services</w:t>
                      </w:r>
                    </w:p>
                    <w:p w14:paraId="3D4F10A0" w14:textId="77777777" w:rsidR="006B54C7" w:rsidRPr="003659BD" w:rsidRDefault="006B54C7" w:rsidP="006B54C7">
                      <w:pPr>
                        <w:ind w:left="142"/>
                      </w:pPr>
                      <w:r w:rsidRPr="003659BD">
                        <w:t xml:space="preserve">For 40 years, Anglicare Tasmania has been delivering free and confidential financial counselling services to Tasmanians. These services are accessed by contacting Anglicare Tasmania or the National Debt Helpline (Anglicare Tasmania is also the service provider for callers based in Tasmania) or via referrals from other agencies. These services are funded by the Australian Government and the Tasmanian Government. In 2022, </w:t>
                      </w:r>
                      <w:r w:rsidRPr="003659BD">
                        <w:rPr>
                          <w:rFonts w:cstheme="minorHAnsi"/>
                        </w:rPr>
                        <w:t>Anglicare Tasmania’s Financial Counsellors delivered over 4,700 service hours to more than 2,100 active clients.</w:t>
                      </w:r>
                    </w:p>
                    <w:p w14:paraId="1D3D9608" w14:textId="77777777" w:rsidR="006B54C7" w:rsidRDefault="006B54C7" w:rsidP="006B54C7"/>
                  </w:txbxContent>
                </v:textbox>
                <w10:wrap type="square"/>
              </v:shape>
            </w:pict>
          </mc:Fallback>
        </mc:AlternateContent>
      </w:r>
      <w:r>
        <w:t xml:space="preserve">Australian research has found that financial counselling services are highly valued by clients </w:t>
      </w:r>
      <w:r>
        <w:rPr>
          <w:noProof/>
        </w:rPr>
        <w:t>(Pollard et al. 2020)</w:t>
      </w:r>
      <w:r>
        <w:t xml:space="preserve"> and also effective, generating positive outcomes for clients, including for their financial wellbeing and mental health </w:t>
      </w:r>
      <w:r>
        <w:rPr>
          <w:noProof/>
        </w:rPr>
        <w:t>(Brackertz 2012)</w:t>
      </w:r>
      <w:r>
        <w:t>. Financial counselling also generates</w:t>
      </w:r>
      <w:r w:rsidRPr="001A4857">
        <w:t xml:space="preserve"> </w:t>
      </w:r>
      <w:r>
        <w:t xml:space="preserve">monetary benefits for the broader community including avoidance of bankruptcy and increased </w:t>
      </w:r>
      <w:r w:rsidRPr="001A4857">
        <w:t xml:space="preserve">debt repayment </w:t>
      </w:r>
      <w:r>
        <w:t xml:space="preserve">to businesses </w:t>
      </w:r>
      <w:r>
        <w:rPr>
          <w:noProof/>
        </w:rPr>
        <w:t>(Sylvan 2019)</w:t>
      </w:r>
      <w:r w:rsidRPr="001A4857">
        <w:t>.</w:t>
      </w:r>
      <w:r>
        <w:t xml:space="preserve"> A cost benefit analysis conducted for the Wyatt Trust estimated the value of benefits generated by their financial counselling services to be five times greater than the cost </w:t>
      </w:r>
      <w:r>
        <w:rPr>
          <w:noProof/>
        </w:rPr>
        <w:t>(Mahmoudi et al. 2014)</w:t>
      </w:r>
      <w:r>
        <w:t>.</w:t>
      </w:r>
    </w:p>
    <w:p w14:paraId="7F0D5B3E" w14:textId="77777777" w:rsidR="001702AE" w:rsidRDefault="001702AE">
      <w:pPr>
        <w:spacing w:before="0" w:after="0"/>
      </w:pPr>
      <w:r>
        <w:br w:type="page"/>
      </w:r>
    </w:p>
    <w:p w14:paraId="3E725DEC" w14:textId="77777777" w:rsidR="001702AE" w:rsidRDefault="001702AE" w:rsidP="006B54C7">
      <w:pPr>
        <w:spacing w:before="480"/>
      </w:pPr>
      <w:r>
        <w:lastRenderedPageBreak/>
        <w:t>Financial counselling providers also play a policy role in the financial services sector, by “bringing issues to the attention of the regulator, and providing a balancing consumer voice in policy development”</w:t>
      </w:r>
      <w:r w:rsidRPr="006D4E78">
        <w:t xml:space="preserve"> </w:t>
      </w:r>
      <w:r>
        <w:rPr>
          <w:noProof/>
        </w:rPr>
        <w:t>(Commonwealth of Australia 2019)</w:t>
      </w:r>
      <w:r>
        <w:t xml:space="preserve">. Additionally, these organisations can play a role in social justice or policy advocacy, including by providing evidence and arguments for the harms of particular financial products, including BNPL, for low-income or vulnerable people </w:t>
      </w:r>
      <w:r>
        <w:rPr>
          <w:noProof/>
        </w:rPr>
        <w:t>(e.g. Good Shepherd 2022; Way Forward 2022)</w:t>
      </w:r>
      <w:r>
        <w:t>.</w:t>
      </w:r>
    </w:p>
    <w:p w14:paraId="4489FF13" w14:textId="77777777" w:rsidR="001702AE" w:rsidRPr="005D517B" w:rsidRDefault="001702AE" w:rsidP="006B54C7">
      <w:pPr>
        <w:pStyle w:val="Heading2"/>
      </w:pPr>
      <w:bookmarkStart w:id="16" w:name="_Toc130396312"/>
      <w:bookmarkStart w:id="17" w:name="_Toc131232842"/>
      <w:r w:rsidRPr="005D517B">
        <w:t>1.</w:t>
      </w:r>
      <w:r>
        <w:t>2</w:t>
      </w:r>
      <w:r w:rsidRPr="005D517B">
        <w:t xml:space="preserve"> </w:t>
      </w:r>
      <w:r>
        <w:t>Anglicare Tasmania’s growing awareness of Buy Now Pay Later use by people in financial stress</w:t>
      </w:r>
      <w:bookmarkEnd w:id="16"/>
      <w:bookmarkEnd w:id="17"/>
    </w:p>
    <w:p w14:paraId="7D0B5BA8" w14:textId="77777777" w:rsidR="001702AE" w:rsidRDefault="001702AE" w:rsidP="006B54C7">
      <w:pPr>
        <w:spacing w:after="240"/>
      </w:pPr>
      <w:bookmarkStart w:id="18" w:name="_Hlk130912177"/>
      <w:r>
        <w:t xml:space="preserve">Some of Anglicare Tasmania’s Program Managers raised with us the possibility that Buy Now Pay Later (BNPL) products may be causing harm to people who are presenting to financial counselling services in </w:t>
      </w:r>
      <w:r w:rsidRPr="002946EF">
        <w:rPr>
          <w:b/>
          <w:color w:val="248EB9"/>
        </w:rPr>
        <w:t>financial stress</w:t>
      </w:r>
      <w:r>
        <w:t xml:space="preserve">, which is defined as an inability to pay regular bills or to meet one’s basic needs </w:t>
      </w:r>
      <w:r>
        <w:rPr>
          <w:noProof/>
        </w:rPr>
        <w:t>(Botha et al. 2022)</w:t>
      </w:r>
      <w:r>
        <w:t xml:space="preserve">. </w:t>
      </w:r>
    </w:p>
    <w:bookmarkEnd w:id="18"/>
    <w:p w14:paraId="37C8417B" w14:textId="77777777" w:rsidR="001702AE" w:rsidRDefault="001702AE" w:rsidP="006B54C7">
      <w:pPr>
        <w:spacing w:after="240"/>
      </w:pPr>
      <w:r w:rsidRPr="00CB122A">
        <w:rPr>
          <w:b/>
          <w:noProof/>
        </w:rPr>
        <mc:AlternateContent>
          <mc:Choice Requires="wps">
            <w:drawing>
              <wp:anchor distT="45720" distB="45720" distL="114300" distR="114300" simplePos="0" relativeHeight="251668480" behindDoc="0" locked="0" layoutInCell="1" allowOverlap="1" wp14:anchorId="0DE12060" wp14:editId="6FBCD583">
                <wp:simplePos x="0" y="0"/>
                <wp:positionH relativeFrom="margin">
                  <wp:align>left</wp:align>
                </wp:positionH>
                <wp:positionV relativeFrom="paragraph">
                  <wp:posOffset>1184910</wp:posOffset>
                </wp:positionV>
                <wp:extent cx="6160770" cy="2545080"/>
                <wp:effectExtent l="0" t="0" r="0" b="76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2545492"/>
                        </a:xfrm>
                        <a:prstGeom prst="rect">
                          <a:avLst/>
                        </a:prstGeom>
                        <a:solidFill>
                          <a:srgbClr val="E6E3D9"/>
                        </a:solidFill>
                        <a:ln w="9525">
                          <a:noFill/>
                          <a:miter lim="800000"/>
                          <a:headEnd/>
                          <a:tailEnd/>
                        </a:ln>
                      </wps:spPr>
                      <wps:txbx>
                        <w:txbxContent>
                          <w:p w14:paraId="5667B525" w14:textId="77777777" w:rsidR="006B54C7" w:rsidRPr="00043E26" w:rsidRDefault="006B54C7" w:rsidP="006B54C7">
                            <w:pPr>
                              <w:spacing w:after="0"/>
                              <w:ind w:left="142"/>
                              <w:rPr>
                                <w:b/>
                                <w:szCs w:val="24"/>
                              </w:rPr>
                            </w:pPr>
                            <w:r w:rsidRPr="00043E26">
                              <w:rPr>
                                <w:b/>
                                <w:szCs w:val="24"/>
                              </w:rPr>
                              <w:t>Box 2: What are the distinguishing features of Buy Now Pay Later products?</w:t>
                            </w:r>
                          </w:p>
                          <w:p w14:paraId="639D21B5" w14:textId="77777777" w:rsidR="006B54C7" w:rsidRPr="00043E26" w:rsidRDefault="006B54C7" w:rsidP="006B54C7">
                            <w:pPr>
                              <w:ind w:firstLine="142"/>
                            </w:pPr>
                            <w:r w:rsidRPr="00043E26">
                              <w:t>In general, Buy Now Pay Later products:</w:t>
                            </w:r>
                          </w:p>
                          <w:p w14:paraId="1E2311B8" w14:textId="77777777" w:rsidR="006B54C7" w:rsidRPr="00043E26" w:rsidRDefault="006B54C7" w:rsidP="00B0567E">
                            <w:pPr>
                              <w:pStyle w:val="Blackbullets"/>
                              <w:ind w:left="1077" w:hanging="360"/>
                            </w:pPr>
                            <w:r>
                              <w:t>i</w:t>
                            </w:r>
                            <w:r w:rsidRPr="00043E26">
                              <w:t>nvolve a third-party financing entity</w:t>
                            </w:r>
                          </w:p>
                          <w:p w14:paraId="426B8813" w14:textId="77777777" w:rsidR="006B54C7" w:rsidRPr="00043E26" w:rsidRDefault="006B54C7" w:rsidP="00B0567E">
                            <w:pPr>
                              <w:pStyle w:val="Blackbullets"/>
                              <w:ind w:left="1077" w:hanging="360"/>
                            </w:pPr>
                            <w:r>
                              <w:t>p</w:t>
                            </w:r>
                            <w:r w:rsidRPr="00043E26">
                              <w:t>rovide consumers with finance to purchase goods and services</w:t>
                            </w:r>
                          </w:p>
                          <w:p w14:paraId="32501EA4" w14:textId="77777777" w:rsidR="006B54C7" w:rsidRPr="00043E26" w:rsidRDefault="006B54C7" w:rsidP="00B0567E">
                            <w:pPr>
                              <w:pStyle w:val="Blackbullets"/>
                              <w:ind w:left="1077" w:hanging="360"/>
                            </w:pPr>
                            <w:r>
                              <w:t>d</w:t>
                            </w:r>
                            <w:r w:rsidRPr="00043E26">
                              <w:t>o not provide cash to consumers</w:t>
                            </w:r>
                          </w:p>
                          <w:p w14:paraId="46B435F8" w14:textId="77777777" w:rsidR="006B54C7" w:rsidRPr="00043E26" w:rsidRDefault="006B54C7" w:rsidP="00B0567E">
                            <w:pPr>
                              <w:pStyle w:val="Blackbullets"/>
                              <w:ind w:left="1077" w:hanging="360"/>
                            </w:pPr>
                            <w:r>
                              <w:t>d</w:t>
                            </w:r>
                            <w:r w:rsidRPr="00043E26">
                              <w:t>o not charge interest on the finance used</w:t>
                            </w:r>
                          </w:p>
                          <w:p w14:paraId="0A87545F" w14:textId="77777777" w:rsidR="006B54C7" w:rsidRPr="00043E26" w:rsidRDefault="006B54C7" w:rsidP="00B0567E">
                            <w:pPr>
                              <w:pStyle w:val="Blackbullets"/>
                              <w:ind w:left="1077" w:hanging="360"/>
                            </w:pPr>
                            <w:r>
                              <w:t>m</w:t>
                            </w:r>
                            <w:r w:rsidRPr="00043E26">
                              <w:t>ay charge consumers low, fixed fees (and/or late or missed payment fees)</w:t>
                            </w:r>
                          </w:p>
                          <w:p w14:paraId="04BC7BDC" w14:textId="77777777" w:rsidR="006B54C7" w:rsidRPr="00043E26" w:rsidRDefault="006B54C7" w:rsidP="00B0567E">
                            <w:pPr>
                              <w:pStyle w:val="Blackbullets"/>
                              <w:ind w:left="1077" w:hanging="360"/>
                            </w:pPr>
                            <w:r>
                              <w:t>c</w:t>
                            </w:r>
                            <w:r w:rsidRPr="00043E26">
                              <w:t>harge merchants service fees for accepting BNPL</w:t>
                            </w:r>
                          </w:p>
                          <w:p w14:paraId="4DE85501" w14:textId="77777777" w:rsidR="006B54C7" w:rsidRPr="00043E26" w:rsidRDefault="006B54C7" w:rsidP="00B0567E">
                            <w:pPr>
                              <w:pStyle w:val="Blackbullets"/>
                              <w:ind w:left="1077" w:hanging="360"/>
                            </w:pPr>
                            <w:r>
                              <w:t>p</w:t>
                            </w:r>
                            <w:r w:rsidRPr="00043E26">
                              <w:t>ay merchants the value of the purchase, less any fees</w:t>
                            </w:r>
                            <w:r>
                              <w:t>.</w:t>
                            </w:r>
                          </w:p>
                          <w:p w14:paraId="6511D609" w14:textId="1E9ABB78" w:rsidR="006B54C7" w:rsidRPr="00043E26" w:rsidRDefault="00856710" w:rsidP="00B0567E">
                            <w:pPr>
                              <w:pStyle w:val="Blackbullets"/>
                              <w:ind w:left="1077" w:hanging="360"/>
                            </w:pPr>
                            <w:r>
                              <w:t>c</w:t>
                            </w:r>
                            <w:r w:rsidR="006B54C7" w:rsidRPr="00043E26">
                              <w:t>ollect repayments from consumers by means of pre-scheduled electronic deductions from their bank accounts (Treasury, 2022).</w:t>
                            </w:r>
                          </w:p>
                          <w:p w14:paraId="784D0CD4" w14:textId="77777777" w:rsidR="006B54C7" w:rsidRPr="003665AE" w:rsidRDefault="006B54C7" w:rsidP="006B54C7">
                            <w:pPr>
                              <w:spacing w:after="0"/>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12060" id="_x0000_s1028" type="#_x0000_t202" style="position:absolute;margin-left:0;margin-top:93.3pt;width:485.1pt;height:200.4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" fillcolor="#e6e3d9" stroked="f">
                <v:textbox>
                  <w:txbxContent>
                    <w:p w14:paraId="5667B525" w14:textId="77777777" w:rsidR="006B54C7" w:rsidRPr="00043E26" w:rsidRDefault="006B54C7" w:rsidP="006B54C7">
                      <w:pPr>
                        <w:spacing w:after="0"/>
                        <w:ind w:left="142"/>
                        <w:rPr>
                          <w:b/>
                          <w:szCs w:val="24"/>
                        </w:rPr>
                      </w:pPr>
                      <w:r w:rsidRPr="00043E26">
                        <w:rPr>
                          <w:b/>
                          <w:szCs w:val="24"/>
                        </w:rPr>
                        <w:t>Box 2: What are the distinguishing features of Buy Now Pay Later products?</w:t>
                      </w:r>
                    </w:p>
                    <w:p w14:paraId="639D21B5" w14:textId="77777777" w:rsidR="006B54C7" w:rsidRPr="00043E26" w:rsidRDefault="006B54C7" w:rsidP="006B54C7">
                      <w:pPr>
                        <w:ind w:firstLine="142"/>
                      </w:pPr>
                      <w:r w:rsidRPr="00043E26">
                        <w:t>In general, Buy Now Pay Later products:</w:t>
                      </w:r>
                    </w:p>
                    <w:p w14:paraId="1E2311B8" w14:textId="77777777" w:rsidR="006B54C7" w:rsidRPr="00043E26" w:rsidRDefault="006B54C7" w:rsidP="00B0567E">
                      <w:pPr>
                        <w:pStyle w:val="Blackbullets"/>
                        <w:ind w:left="1077" w:hanging="360"/>
                      </w:pPr>
                      <w:r>
                        <w:t>i</w:t>
                      </w:r>
                      <w:r w:rsidRPr="00043E26">
                        <w:t>nvolve a third-party financing entity</w:t>
                      </w:r>
                    </w:p>
                    <w:p w14:paraId="426B8813" w14:textId="77777777" w:rsidR="006B54C7" w:rsidRPr="00043E26" w:rsidRDefault="006B54C7" w:rsidP="00B0567E">
                      <w:pPr>
                        <w:pStyle w:val="Blackbullets"/>
                        <w:ind w:left="1077" w:hanging="360"/>
                      </w:pPr>
                      <w:r>
                        <w:t>p</w:t>
                      </w:r>
                      <w:r w:rsidRPr="00043E26">
                        <w:t>rovide consumers with finance to purchase goods and services</w:t>
                      </w:r>
                    </w:p>
                    <w:p w14:paraId="32501EA4" w14:textId="77777777" w:rsidR="006B54C7" w:rsidRPr="00043E26" w:rsidRDefault="006B54C7" w:rsidP="00B0567E">
                      <w:pPr>
                        <w:pStyle w:val="Blackbullets"/>
                        <w:ind w:left="1077" w:hanging="360"/>
                      </w:pPr>
                      <w:r>
                        <w:t>d</w:t>
                      </w:r>
                      <w:r w:rsidRPr="00043E26">
                        <w:t>o not provide cash to consumers</w:t>
                      </w:r>
                    </w:p>
                    <w:p w14:paraId="46B435F8" w14:textId="77777777" w:rsidR="006B54C7" w:rsidRPr="00043E26" w:rsidRDefault="006B54C7" w:rsidP="00B0567E">
                      <w:pPr>
                        <w:pStyle w:val="Blackbullets"/>
                        <w:ind w:left="1077" w:hanging="360"/>
                      </w:pPr>
                      <w:r>
                        <w:t>d</w:t>
                      </w:r>
                      <w:r w:rsidRPr="00043E26">
                        <w:t>o not charge interest on the finance used</w:t>
                      </w:r>
                    </w:p>
                    <w:p w14:paraId="0A87545F" w14:textId="77777777" w:rsidR="006B54C7" w:rsidRPr="00043E26" w:rsidRDefault="006B54C7" w:rsidP="00B0567E">
                      <w:pPr>
                        <w:pStyle w:val="Blackbullets"/>
                        <w:ind w:left="1077" w:hanging="360"/>
                      </w:pPr>
                      <w:r>
                        <w:t>m</w:t>
                      </w:r>
                      <w:r w:rsidRPr="00043E26">
                        <w:t>ay charge consumers low, fixed fees (and/or late or missed payment fees)</w:t>
                      </w:r>
                    </w:p>
                    <w:p w14:paraId="04BC7BDC" w14:textId="77777777" w:rsidR="006B54C7" w:rsidRPr="00043E26" w:rsidRDefault="006B54C7" w:rsidP="00B0567E">
                      <w:pPr>
                        <w:pStyle w:val="Blackbullets"/>
                        <w:ind w:left="1077" w:hanging="360"/>
                      </w:pPr>
                      <w:r>
                        <w:t>c</w:t>
                      </w:r>
                      <w:r w:rsidRPr="00043E26">
                        <w:t>harge merchants service fees for accepting BNPL</w:t>
                      </w:r>
                    </w:p>
                    <w:p w14:paraId="4DE85501" w14:textId="77777777" w:rsidR="006B54C7" w:rsidRPr="00043E26" w:rsidRDefault="006B54C7" w:rsidP="00B0567E">
                      <w:pPr>
                        <w:pStyle w:val="Blackbullets"/>
                        <w:ind w:left="1077" w:hanging="360"/>
                      </w:pPr>
                      <w:r>
                        <w:t>p</w:t>
                      </w:r>
                      <w:r w:rsidRPr="00043E26">
                        <w:t>ay merchants the value of the purchase, less any fees</w:t>
                      </w:r>
                      <w:r>
                        <w:t>.</w:t>
                      </w:r>
                    </w:p>
                    <w:p w14:paraId="6511D609" w14:textId="1E9ABB78" w:rsidR="006B54C7" w:rsidRPr="00043E26" w:rsidRDefault="00856710" w:rsidP="00B0567E">
                      <w:pPr>
                        <w:pStyle w:val="Blackbullets"/>
                        <w:ind w:left="1077" w:hanging="360"/>
                      </w:pPr>
                      <w:r>
                        <w:t>c</w:t>
                      </w:r>
                      <w:r w:rsidR="006B54C7" w:rsidRPr="00043E26">
                        <w:t>ollect repayments from consumers by means of pre-scheduled electronic deductions from their bank accounts (Treasury, 2022).</w:t>
                      </w:r>
                    </w:p>
                    <w:p w14:paraId="784D0CD4" w14:textId="77777777" w:rsidR="006B54C7" w:rsidRPr="003665AE" w:rsidRDefault="006B54C7" w:rsidP="006B54C7">
                      <w:pPr>
                        <w:spacing w:after="0"/>
                        <w:rPr>
                          <w:szCs w:val="24"/>
                        </w:rPr>
                      </w:pPr>
                    </w:p>
                  </w:txbxContent>
                </v:textbox>
                <w10:wrap type="square" anchorx="margin"/>
              </v:shape>
            </w:pict>
          </mc:Fallback>
        </mc:AlternateContent>
      </w:r>
      <w:r>
        <w:t>BNPL products are a type of financial product marketed to consumers at the point of sale. There is significant variation in BNPL products in Australia and new models are being developed all the time, which makes defining them difficult. However, most have a set of features which distinguish them from other consumer credit products, as shown in Box 2 below</w:t>
      </w:r>
      <w:r w:rsidRPr="00896EF5">
        <w:t xml:space="preserve"> </w:t>
      </w:r>
      <w:r>
        <w:rPr>
          <w:noProof/>
        </w:rPr>
        <w:t>(Close Lending Loopholes Coalition 2022; Treasury 2022b)</w:t>
      </w:r>
      <w:r>
        <w:t xml:space="preserve">. </w:t>
      </w:r>
    </w:p>
    <w:p w14:paraId="1884D27E" w14:textId="77777777" w:rsidR="001702AE" w:rsidRDefault="001702AE" w:rsidP="006B54C7">
      <w:pPr>
        <w:spacing w:before="480" w:after="0"/>
      </w:pPr>
      <w:r>
        <w:t xml:space="preserve">In response, Anglicare Tasmania decided to conduct a short-term research project to explore how BNPL use impacts our financial counselling clients. A mixed-methods research design was developed in consultation with Mary Bennett, Mat O’Brien and Lynne Watson of Anglicare Tasmania, as well as John Hooper of NILS Tasmania. The research was carried out from December 2022 – March 2023. It primarily entailed a survey of Anglicare Tasmania’s Financial Counsellors and extracting, coding and analysing qualitative and quantitative data recorded in Anglicare’s client data management system. (Refer to Appendix A for the project’s research design, methods and activities.) </w:t>
      </w:r>
    </w:p>
    <w:p w14:paraId="3A8BF833" w14:textId="77777777" w:rsidR="001702AE" w:rsidRPr="00A417AD" w:rsidRDefault="001702AE" w:rsidP="006B54C7">
      <w:pPr>
        <w:spacing w:before="240" w:after="240"/>
      </w:pPr>
      <w:r w:rsidRPr="00A417AD">
        <w:rPr>
          <w:bCs/>
        </w:rPr>
        <w:t xml:space="preserve">This is the first research to explore the impacts of Buy Now Pay Later on Tasmanians accessing </w:t>
      </w:r>
      <w:r>
        <w:rPr>
          <w:bCs/>
        </w:rPr>
        <w:t>f</w:t>
      </w:r>
      <w:r w:rsidRPr="00A417AD">
        <w:rPr>
          <w:bCs/>
        </w:rPr>
        <w:t xml:space="preserve">inancial </w:t>
      </w:r>
      <w:r>
        <w:rPr>
          <w:bCs/>
        </w:rPr>
        <w:t>c</w:t>
      </w:r>
      <w:r w:rsidRPr="00A417AD">
        <w:rPr>
          <w:bCs/>
        </w:rPr>
        <w:t>ounselling services, almost all of whom are in financial stress and facing social and economic disadvantage.</w:t>
      </w:r>
    </w:p>
    <w:p w14:paraId="26BDA0DC" w14:textId="77777777" w:rsidR="001702AE" w:rsidRDefault="001702AE" w:rsidP="006B54C7">
      <w:pPr>
        <w:pStyle w:val="Heading1"/>
      </w:pPr>
      <w:bookmarkStart w:id="19" w:name="_Toc130396313"/>
      <w:bookmarkStart w:id="20" w:name="_Toc131232843"/>
      <w:r>
        <w:lastRenderedPageBreak/>
        <w:t xml:space="preserve">2. Buy Now Pay Later: </w:t>
      </w:r>
      <w:bookmarkEnd w:id="19"/>
      <w:r>
        <w:t>Current issues</w:t>
      </w:r>
      <w:bookmarkEnd w:id="20"/>
    </w:p>
    <w:p w14:paraId="53D0D3B7" w14:textId="77777777" w:rsidR="001702AE" w:rsidRDefault="001702AE" w:rsidP="006B54C7">
      <w:pPr>
        <w:pStyle w:val="Heading2"/>
      </w:pPr>
      <w:bookmarkStart w:id="21" w:name="_Toc130396314"/>
      <w:bookmarkStart w:id="22" w:name="_Toc131232844"/>
      <w:r>
        <w:t>2.1 The rise of Buy Now Pay Later in Australia</w:t>
      </w:r>
      <w:bookmarkEnd w:id="21"/>
      <w:bookmarkEnd w:id="22"/>
    </w:p>
    <w:p w14:paraId="0D56EB60" w14:textId="77777777" w:rsidR="001702AE" w:rsidRPr="00976087" w:rsidRDefault="001702AE" w:rsidP="006B54C7">
      <w:r>
        <w:t>T</w:t>
      </w:r>
      <w:r w:rsidRPr="00976087">
        <w:t>he</w:t>
      </w:r>
      <w:r>
        <w:t xml:space="preserve"> Australian</w:t>
      </w:r>
      <w:r w:rsidRPr="00976087">
        <w:t xml:space="preserve"> consumer credit market</w:t>
      </w:r>
      <w:r>
        <w:t xml:space="preserve"> is evolving and new </w:t>
      </w:r>
      <w:r w:rsidRPr="00B859B4">
        <w:rPr>
          <w:b/>
          <w:color w:val="248EB9"/>
        </w:rPr>
        <w:t xml:space="preserve">fintech </w:t>
      </w:r>
      <w:r>
        <w:t xml:space="preserve">products are rapidly emerging. These products rely on lower levels of human involvement, developed on the back of technological changes in the finance sector, including electronic banking </w:t>
      </w:r>
      <w:r>
        <w:rPr>
          <w:noProof/>
        </w:rPr>
        <w:t>(Camp 2022; Johnson et al. 2021)</w:t>
      </w:r>
      <w:r>
        <w:t>. Buy Now Pay Later is one of these new products. In Australia, the BNPL market has grown rapidly in recent years: n</w:t>
      </w:r>
      <w:r w:rsidRPr="00976087">
        <w:t xml:space="preserve">ew providers </w:t>
      </w:r>
      <w:r>
        <w:t>have entered</w:t>
      </w:r>
      <w:r w:rsidRPr="00976087">
        <w:t xml:space="preserve"> the market</w:t>
      </w:r>
      <w:r>
        <w:t xml:space="preserve">, </w:t>
      </w:r>
      <w:r w:rsidRPr="00976087">
        <w:t xml:space="preserve">and </w:t>
      </w:r>
      <w:r>
        <w:t xml:space="preserve">some </w:t>
      </w:r>
      <w:r w:rsidRPr="00976087">
        <w:t>established credit providers are</w:t>
      </w:r>
      <w:r>
        <w:t xml:space="preserve"> now also</w:t>
      </w:r>
      <w:r w:rsidRPr="00976087">
        <w:t xml:space="preserve"> offering </w:t>
      </w:r>
      <w:r>
        <w:t xml:space="preserve">BNPL </w:t>
      </w:r>
      <w:r w:rsidRPr="00976087">
        <w:t>options</w:t>
      </w:r>
      <w:r>
        <w:t xml:space="preserve"> </w:t>
      </w:r>
      <w:r>
        <w:rPr>
          <w:noProof/>
        </w:rPr>
        <w:t>(ASIC 2020)</w:t>
      </w:r>
      <w:r w:rsidRPr="00976087">
        <w:t>. In</w:t>
      </w:r>
      <w:r>
        <w:t xml:space="preserve"> Australia in</w:t>
      </w:r>
      <w:r w:rsidRPr="00976087">
        <w:t xml:space="preserve"> 2021-22, there </w:t>
      </w:r>
      <w:r>
        <w:t>were</w:t>
      </w:r>
      <w:r w:rsidRPr="00976087">
        <w:t xml:space="preserve"> approximately 7 million active BNPL accounts and $16</w:t>
      </w:r>
      <w:r>
        <w:t> </w:t>
      </w:r>
      <w:r w:rsidRPr="00976087">
        <w:t xml:space="preserve">billion in transactions, an increase of 37 per cent on the previous financial year </w:t>
      </w:r>
      <w:r>
        <w:rPr>
          <w:noProof/>
        </w:rPr>
        <w:t>(Treasury 2022b)</w:t>
      </w:r>
      <w:r w:rsidRPr="00976087">
        <w:t>.</w:t>
      </w:r>
    </w:p>
    <w:p w14:paraId="5A9077D2" w14:textId="77777777" w:rsidR="001702AE" w:rsidRPr="00AF02C2" w:rsidRDefault="001702AE" w:rsidP="006B54C7">
      <w:pPr>
        <w:pStyle w:val="Heading2"/>
      </w:pPr>
      <w:bookmarkStart w:id="23" w:name="_Toc130396315"/>
      <w:bookmarkStart w:id="24" w:name="_Toc131232845"/>
      <w:r>
        <w:t xml:space="preserve">2.2 Recent moves to strengthen regulation of </w:t>
      </w:r>
      <w:bookmarkEnd w:id="23"/>
      <w:r>
        <w:t>Buy Now Pay Later</w:t>
      </w:r>
      <w:bookmarkEnd w:id="24"/>
    </w:p>
    <w:p w14:paraId="7351AB19" w14:textId="77777777" w:rsidR="001702AE" w:rsidRDefault="001702AE" w:rsidP="006B54C7">
      <w:pPr>
        <w:spacing w:after="240"/>
      </w:pPr>
      <w:r>
        <w:t xml:space="preserve">In recent years, BNPL products have come under increasing scrutiny from governments in Australia and internationally, including New Zealand, the European Union, US and UK </w:t>
      </w:r>
      <w:r>
        <w:rPr>
          <w:noProof/>
        </w:rPr>
        <w:t>(Camp 2022)</w:t>
      </w:r>
      <w:r>
        <w:t xml:space="preserve">. BNPL products sit at the “regulatory perimeter”, effectively avoiding the regulatory requirements imposed on more traditional credit products </w:t>
      </w:r>
      <w:r>
        <w:rPr>
          <w:noProof/>
        </w:rPr>
        <w:t>(Close Lending Loopholes Coalition 2022)</w:t>
      </w:r>
      <w:r>
        <w:t xml:space="preserve">. This situation has been criticised as an example of “regulatory failure” by governments </w:t>
      </w:r>
      <w:r>
        <w:rPr>
          <w:noProof/>
        </w:rPr>
        <w:t>(Johnson et al. 2021)</w:t>
      </w:r>
      <w:r>
        <w:t>.</w:t>
      </w:r>
    </w:p>
    <w:p w14:paraId="1F1DC8EF" w14:textId="77777777" w:rsidR="001702AE" w:rsidRDefault="001702AE" w:rsidP="006B54C7">
      <w:pPr>
        <w:spacing w:after="240"/>
      </w:pPr>
      <w:r w:rsidRPr="00976087">
        <w:t xml:space="preserve">In November 2022, </w:t>
      </w:r>
      <w:r>
        <w:t xml:space="preserve">the Australian </w:t>
      </w:r>
      <w:r w:rsidRPr="00976087">
        <w:t xml:space="preserve">Treasury released an Options Paper </w:t>
      </w:r>
      <w:r>
        <w:t>for</w:t>
      </w:r>
      <w:r w:rsidRPr="00976087">
        <w:t xml:space="preserve"> </w:t>
      </w:r>
      <w:r>
        <w:t xml:space="preserve">further </w:t>
      </w:r>
      <w:r w:rsidRPr="00976087">
        <w:t xml:space="preserve">regulating Buy Now Pay Later, and launched a consultation process </w:t>
      </w:r>
      <w:r>
        <w:t>which closed</w:t>
      </w:r>
      <w:r w:rsidRPr="00976087">
        <w:t xml:space="preserve"> </w:t>
      </w:r>
      <w:r>
        <w:t xml:space="preserve">in late 2022 </w:t>
      </w:r>
      <w:r>
        <w:rPr>
          <w:noProof/>
        </w:rPr>
        <w:t>(Treasury 2022b)</w:t>
      </w:r>
      <w:r w:rsidRPr="00976087">
        <w:t>.</w:t>
      </w:r>
      <w:r>
        <w:t xml:space="preserve"> The Options Paper</w:t>
      </w:r>
      <w:r w:rsidRPr="00976087">
        <w:t xml:space="preserve"> </w:t>
      </w:r>
      <w:r>
        <w:t>identified</w:t>
      </w:r>
      <w:r w:rsidRPr="00976087">
        <w:t xml:space="preserve"> potential benefits to consumers from using BNPL products</w:t>
      </w:r>
      <w:r>
        <w:t>, including greater</w:t>
      </w:r>
      <w:r w:rsidRPr="00976087">
        <w:t xml:space="preserve"> financial inclusion by offering a (potentially) cheaper and easier-to-access form of credit compared to credit cards, payday loans and consumer leases </w:t>
      </w:r>
      <w:r>
        <w:rPr>
          <w:noProof/>
        </w:rPr>
        <w:t>(Treasury 2022b)</w:t>
      </w:r>
      <w:r w:rsidRPr="00976087">
        <w:t>. Wider benefits</w:t>
      </w:r>
      <w:r>
        <w:t xml:space="preserve"> to</w:t>
      </w:r>
      <w:r w:rsidRPr="00976087">
        <w:t xml:space="preserve"> the economy </w:t>
      </w:r>
      <w:r>
        <w:t>we</w:t>
      </w:r>
      <w:r w:rsidRPr="00976087">
        <w:t>re also identified</w:t>
      </w:r>
      <w:r>
        <w:t>, including</w:t>
      </w:r>
      <w:r w:rsidRPr="00976087">
        <w:t xml:space="preserve"> increasing competitive pressure on traditional forms of credit</w:t>
      </w:r>
      <w:r>
        <w:t>,</w:t>
      </w:r>
      <w:r w:rsidRPr="00976087">
        <w:t xml:space="preserve"> and driving increased business for merchants because consumers can access additional credit to purchase goods and services </w:t>
      </w:r>
      <w:r>
        <w:rPr>
          <w:noProof/>
        </w:rPr>
        <w:t>(Treasury 2022b)</w:t>
      </w:r>
      <w:r w:rsidRPr="00976087">
        <w:t>.</w:t>
      </w:r>
    </w:p>
    <w:p w14:paraId="54B22D33" w14:textId="77777777" w:rsidR="001702AE" w:rsidRPr="003E779D" w:rsidRDefault="001702AE" w:rsidP="006B54C7">
      <w:pPr>
        <w:spacing w:after="240"/>
        <w:rPr>
          <w:szCs w:val="24"/>
        </w:rPr>
      </w:pPr>
      <w:r w:rsidRPr="003E779D">
        <w:rPr>
          <w:szCs w:val="24"/>
        </w:rPr>
        <w:t>However, Treasury also noted several disadvantages or concerns about BNPL which</w:t>
      </w:r>
      <w:r>
        <w:rPr>
          <w:szCs w:val="24"/>
        </w:rPr>
        <w:t xml:space="preserve"> they</w:t>
      </w:r>
      <w:r w:rsidRPr="003E779D">
        <w:rPr>
          <w:szCs w:val="24"/>
        </w:rPr>
        <w:t xml:space="preserve"> had </w:t>
      </w:r>
      <w:r>
        <w:rPr>
          <w:szCs w:val="24"/>
        </w:rPr>
        <w:t>already heard about</w:t>
      </w:r>
      <w:r w:rsidRPr="003E779D">
        <w:rPr>
          <w:szCs w:val="24"/>
        </w:rPr>
        <w:t xml:space="preserve"> during</w:t>
      </w:r>
      <w:r>
        <w:rPr>
          <w:szCs w:val="24"/>
        </w:rPr>
        <w:t xml:space="preserve"> </w:t>
      </w:r>
      <w:r w:rsidRPr="003E779D">
        <w:rPr>
          <w:szCs w:val="24"/>
        </w:rPr>
        <w:t>preliminary consultation</w:t>
      </w:r>
      <w:r>
        <w:rPr>
          <w:szCs w:val="24"/>
        </w:rPr>
        <w:t>s</w:t>
      </w:r>
      <w:r w:rsidRPr="003E779D">
        <w:rPr>
          <w:szCs w:val="24"/>
        </w:rPr>
        <w:t>:</w:t>
      </w:r>
    </w:p>
    <w:p w14:paraId="527CD617" w14:textId="77777777" w:rsidR="001702AE" w:rsidRPr="00CB076E" w:rsidRDefault="001702AE" w:rsidP="005D72F8">
      <w:pPr>
        <w:pStyle w:val="Bullets"/>
      </w:pPr>
      <w:r w:rsidRPr="00CB076E">
        <w:t>Unaffordable or inappropriate lending practices which are contributing to financial stress and hardship, and other types of consumer harm.</w:t>
      </w:r>
    </w:p>
    <w:p w14:paraId="1A2E2505" w14:textId="77777777" w:rsidR="001702AE" w:rsidRPr="00CB076E" w:rsidRDefault="001702AE" w:rsidP="005D72F8">
      <w:pPr>
        <w:pStyle w:val="Bullets"/>
      </w:pPr>
      <w:r w:rsidRPr="00CB076E">
        <w:t>Poor complaints handling processes and a lack of hardship assistance for consumers</w:t>
      </w:r>
      <w:r>
        <w:t xml:space="preserve"> leading </w:t>
      </w:r>
      <w:r w:rsidRPr="00CB076E">
        <w:t>to delayed or unsatisfactory remediation.</w:t>
      </w:r>
    </w:p>
    <w:p w14:paraId="774F0389" w14:textId="77777777" w:rsidR="001702AE" w:rsidRPr="00CB076E" w:rsidRDefault="001702AE" w:rsidP="005D72F8">
      <w:pPr>
        <w:pStyle w:val="Bullets"/>
      </w:pPr>
      <w:r w:rsidRPr="00CB076E">
        <w:t>Excessive or disproportionate consumer fees and charges including default fees</w:t>
      </w:r>
      <w:r>
        <w:t>,</w:t>
      </w:r>
      <w:r w:rsidRPr="00CB076E">
        <w:t xml:space="preserve"> relative to the size of the consumer’s debt.</w:t>
      </w:r>
    </w:p>
    <w:p w14:paraId="2D478CFE" w14:textId="77777777" w:rsidR="001702AE" w:rsidRPr="00CB076E" w:rsidRDefault="001702AE" w:rsidP="005D72F8">
      <w:pPr>
        <w:pStyle w:val="Bullets"/>
      </w:pPr>
      <w:r w:rsidRPr="00CB076E">
        <w:t>Non-participation in Australia’s credit reporting framework means some BNPL credit information is not available for use in credit checks by other lenders.</w:t>
      </w:r>
    </w:p>
    <w:p w14:paraId="2CF8A73E" w14:textId="77777777" w:rsidR="001702AE" w:rsidRPr="00CB076E" w:rsidRDefault="001702AE" w:rsidP="005D72F8">
      <w:pPr>
        <w:pStyle w:val="Bullets"/>
      </w:pPr>
      <w:r w:rsidRPr="00CB076E">
        <w:t>Poor product disclosure practices and a lack of warning requirements</w:t>
      </w:r>
      <w:r>
        <w:t>, which</w:t>
      </w:r>
      <w:r w:rsidRPr="00CB076E">
        <w:t xml:space="preserve"> means consumers </w:t>
      </w:r>
      <w:r>
        <w:t>may</w:t>
      </w:r>
      <w:r w:rsidRPr="00CB076E">
        <w:t xml:space="preserve"> not have sufficient information to make informed choices about BNPL products.</w:t>
      </w:r>
    </w:p>
    <w:p w14:paraId="5A34CD7D" w14:textId="77777777" w:rsidR="001702AE" w:rsidRDefault="001702AE">
      <w:pPr>
        <w:spacing w:before="0" w:after="0"/>
        <w:rPr>
          <w:szCs w:val="24"/>
        </w:rPr>
      </w:pPr>
      <w:r>
        <w:br w:type="page"/>
      </w:r>
    </w:p>
    <w:p w14:paraId="36BC17B1" w14:textId="77777777" w:rsidR="001702AE" w:rsidRPr="003E779D" w:rsidRDefault="001702AE" w:rsidP="005D72F8">
      <w:pPr>
        <w:pStyle w:val="Bullets"/>
      </w:pPr>
      <w:r w:rsidRPr="003E779D">
        <w:lastRenderedPageBreak/>
        <w:t>Unsolicited selling and advertising practices targeting consumers at the checkout or encouraging the use of BNPL for essentials such as groceries.</w:t>
      </w:r>
    </w:p>
    <w:p w14:paraId="68E5AEA0" w14:textId="77777777" w:rsidR="001702AE" w:rsidRPr="003E779D" w:rsidRDefault="001702AE" w:rsidP="005D72F8">
      <w:pPr>
        <w:pStyle w:val="Bullets"/>
      </w:pPr>
      <w:r w:rsidRPr="003E779D">
        <w:t xml:space="preserve">Frictionless sign-up to BNPL products </w:t>
      </w:r>
      <w:r>
        <w:t xml:space="preserve">may </w:t>
      </w:r>
      <w:r w:rsidRPr="003E779D">
        <w:t xml:space="preserve">enhance other consumer harms, such as scamming, overselling and </w:t>
      </w:r>
      <w:r w:rsidRPr="006A2E03">
        <w:rPr>
          <w:b/>
          <w:color w:val="1598CB"/>
        </w:rPr>
        <w:t>financial abuse</w:t>
      </w:r>
      <w:r w:rsidRPr="003E779D">
        <w:t>.</w:t>
      </w:r>
    </w:p>
    <w:p w14:paraId="4E691B59" w14:textId="77777777" w:rsidR="001702AE" w:rsidRPr="003E779D" w:rsidRDefault="001702AE" w:rsidP="005D72F8">
      <w:pPr>
        <w:pStyle w:val="Bullets"/>
      </w:pPr>
      <w:r w:rsidRPr="003E779D">
        <w:t>Inadequate reverse</w:t>
      </w:r>
      <w:r>
        <w:t>-</w:t>
      </w:r>
      <w:r w:rsidRPr="003E779D">
        <w:t>charging provisions</w:t>
      </w:r>
      <w:r>
        <w:t xml:space="preserve"> experienced</w:t>
      </w:r>
      <w:r w:rsidRPr="003E779D">
        <w:t xml:space="preserve"> </w:t>
      </w:r>
      <w:r>
        <w:t xml:space="preserve">by consumers </w:t>
      </w:r>
      <w:r w:rsidRPr="003E779D">
        <w:t>when</w:t>
      </w:r>
      <w:r>
        <w:t xml:space="preserve"> returning to a merchant an item they</w:t>
      </w:r>
      <w:r w:rsidRPr="003E779D">
        <w:t xml:space="preserve"> purchased with a BNPL product </w:t>
      </w:r>
      <w:r>
        <w:rPr>
          <w:noProof/>
        </w:rPr>
        <w:t>(Treasury 2022b)</w:t>
      </w:r>
      <w:r w:rsidRPr="003E779D">
        <w:t>.</w:t>
      </w:r>
    </w:p>
    <w:p w14:paraId="314AFC66" w14:textId="0FD7A474" w:rsidR="001702AE" w:rsidRDefault="00B0567E" w:rsidP="006B54C7">
      <w:pPr>
        <w:spacing w:before="240" w:after="240"/>
      </w:pPr>
      <w:r w:rsidRPr="00CB122A">
        <w:rPr>
          <w:b/>
          <w:noProof/>
        </w:rPr>
        <mc:AlternateContent>
          <mc:Choice Requires="wps">
            <w:drawing>
              <wp:anchor distT="45720" distB="45720" distL="114300" distR="114300" simplePos="0" relativeHeight="251670528" behindDoc="0" locked="0" layoutInCell="1" allowOverlap="1" wp14:anchorId="73948C7E" wp14:editId="0D80A2EE">
                <wp:simplePos x="0" y="0"/>
                <wp:positionH relativeFrom="column">
                  <wp:posOffset>-90805</wp:posOffset>
                </wp:positionH>
                <wp:positionV relativeFrom="paragraph">
                  <wp:posOffset>628015</wp:posOffset>
                </wp:positionV>
                <wp:extent cx="6303010" cy="3496945"/>
                <wp:effectExtent l="0" t="0" r="2540" b="825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010" cy="3496945"/>
                        </a:xfrm>
                        <a:prstGeom prst="rect">
                          <a:avLst/>
                        </a:prstGeom>
                        <a:solidFill>
                          <a:srgbClr val="E6E3D9"/>
                        </a:solidFill>
                        <a:ln w="9525">
                          <a:noFill/>
                          <a:miter lim="800000"/>
                          <a:headEnd/>
                          <a:tailEnd/>
                        </a:ln>
                      </wps:spPr>
                      <wps:txbx>
                        <w:txbxContent>
                          <w:p w14:paraId="69E89367" w14:textId="77777777" w:rsidR="006B54C7" w:rsidRPr="001B457C" w:rsidRDefault="006B54C7" w:rsidP="00B0567E">
                            <w:pPr>
                              <w:tabs>
                                <w:tab w:val="left" w:pos="284"/>
                              </w:tabs>
                              <w:ind w:left="142"/>
                              <w:rPr>
                                <w:b/>
                                <w:szCs w:val="24"/>
                              </w:rPr>
                            </w:pPr>
                            <w:r w:rsidRPr="001B457C">
                              <w:rPr>
                                <w:b/>
                                <w:szCs w:val="24"/>
                              </w:rPr>
                              <w:t>Box 3: Treasury’s three proposed options for regulating Buy Now Pay Later</w:t>
                            </w:r>
                          </w:p>
                          <w:p w14:paraId="1A6BBC2C" w14:textId="77777777" w:rsidR="006B54C7" w:rsidRPr="001B457C" w:rsidRDefault="006B54C7" w:rsidP="00B0567E">
                            <w:pPr>
                              <w:spacing w:after="240"/>
                              <w:ind w:left="142"/>
                              <w:rPr>
                                <w:szCs w:val="24"/>
                              </w:rPr>
                            </w:pPr>
                            <w:r w:rsidRPr="001B457C">
                              <w:rPr>
                                <w:szCs w:val="24"/>
                              </w:rPr>
                              <w:t>The Options Paper outlines three options for regulating Buy Now Pay Later, as follows:</w:t>
                            </w:r>
                          </w:p>
                          <w:p w14:paraId="321EB116" w14:textId="77777777" w:rsidR="006B54C7" w:rsidRPr="00043E26" w:rsidRDefault="006B54C7" w:rsidP="00B0567E">
                            <w:pPr>
                              <w:pStyle w:val="ListParagraph"/>
                              <w:numPr>
                                <w:ilvl w:val="0"/>
                                <w:numId w:val="19"/>
                              </w:numPr>
                              <w:rPr>
                                <w:b/>
                              </w:rPr>
                            </w:pPr>
                            <w:r w:rsidRPr="00043E26">
                              <w:rPr>
                                <w:b/>
                              </w:rPr>
                              <w:t>“Option 1: Strengthening the BNPL Industry Code plus an affordability test.</w:t>
                            </w:r>
                            <w:r w:rsidRPr="00043E26">
                              <w:t xml:space="preserve"> This option will impose a bespoke affordability assessment for BNPL providers under the Credit Act and address any other regulatory gaps in a strengthened Industry Code to make it fit-for-purpose.</w:t>
                            </w:r>
                          </w:p>
                          <w:p w14:paraId="5E7C6F4F" w14:textId="77777777" w:rsidR="006B54C7" w:rsidRPr="00043E26" w:rsidRDefault="006B54C7" w:rsidP="00B0567E">
                            <w:pPr>
                              <w:pStyle w:val="ListParagraph"/>
                              <w:numPr>
                                <w:ilvl w:val="0"/>
                                <w:numId w:val="19"/>
                              </w:numPr>
                              <w:rPr>
                                <w:b/>
                              </w:rPr>
                            </w:pPr>
                            <w:r w:rsidRPr="00043E26">
                              <w:rPr>
                                <w:b/>
                              </w:rPr>
                              <w:t xml:space="preserve">Option 2: Limited BNPL regulation under the Credit Act. </w:t>
                            </w:r>
                            <w:r w:rsidRPr="00043E26">
                              <w:t>This approach would require BNPL providers to obtain and maintain an ACL [Australian Credit Licence], plus introduce modified Responsible Lending Obligations (RLOs) under the Credit Act to determine unsuitability, combined with a strengthened Industry Code.</w:t>
                            </w:r>
                          </w:p>
                          <w:p w14:paraId="66C70D21" w14:textId="77777777" w:rsidR="006B54C7" w:rsidRPr="00043E26" w:rsidRDefault="006B54C7" w:rsidP="00B0567E">
                            <w:pPr>
                              <w:pStyle w:val="ListParagraph"/>
                              <w:numPr>
                                <w:ilvl w:val="0"/>
                                <w:numId w:val="19"/>
                              </w:numPr>
                              <w:rPr>
                                <w:b/>
                              </w:rPr>
                            </w:pPr>
                            <w:r w:rsidRPr="00043E26">
                              <w:rPr>
                                <w:b/>
                              </w:rPr>
                              <w:t xml:space="preserve">Option 3: Regulation of BNPL under the Credit Act, with full RLOs. </w:t>
                            </w:r>
                            <w:r w:rsidRPr="00043E26">
                              <w:t>Under this option, BNPL providers would need to obtain and maintain an ACL.</w:t>
                            </w:r>
                            <w:r w:rsidRPr="00043E26">
                              <w:rPr>
                                <w:b/>
                              </w:rPr>
                              <w:t xml:space="preserve"> </w:t>
                            </w:r>
                            <w:r w:rsidRPr="00043E26">
                              <w:t>The existing RLOs in the Credit Act will be applied to all BNPL credit, including requirements around reasonable inquiries into a consumer’s financial situation and taking reasonable steps to verify this information (Treasury 2022b, p.5).”</w:t>
                            </w:r>
                          </w:p>
                          <w:p w14:paraId="7D4F863F" w14:textId="77777777" w:rsidR="006B54C7" w:rsidRPr="001E135F" w:rsidRDefault="006B54C7" w:rsidP="006B54C7">
                            <w:pPr>
                              <w:rPr>
                                <w:sz w:val="22"/>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48C7E" id="_x0000_s1029" type="#_x0000_t202" style="position:absolute;margin-left:-7.15pt;margin-top:49.45pt;width:496.3pt;height:275.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" fillcolor="#e6e3d9" stroked="f">
                <v:textbox>
                  <w:txbxContent>
                    <w:p w14:paraId="69E89367" w14:textId="77777777" w:rsidR="006B54C7" w:rsidRPr="001B457C" w:rsidRDefault="006B54C7" w:rsidP="00B0567E">
                      <w:pPr>
                        <w:tabs>
                          <w:tab w:val="left" w:pos="284"/>
                        </w:tabs>
                        <w:ind w:left="142"/>
                        <w:rPr>
                          <w:b/>
                          <w:szCs w:val="24"/>
                        </w:rPr>
                      </w:pPr>
                      <w:r w:rsidRPr="001B457C">
                        <w:rPr>
                          <w:b/>
                          <w:szCs w:val="24"/>
                        </w:rPr>
                        <w:t>Box 3: Treasury’s three proposed options for regulating Buy Now Pay Later</w:t>
                      </w:r>
                    </w:p>
                    <w:p w14:paraId="1A6BBC2C" w14:textId="77777777" w:rsidR="006B54C7" w:rsidRPr="001B457C" w:rsidRDefault="006B54C7" w:rsidP="00B0567E">
                      <w:pPr>
                        <w:spacing w:after="240"/>
                        <w:ind w:left="142"/>
                        <w:rPr>
                          <w:szCs w:val="24"/>
                        </w:rPr>
                      </w:pPr>
                      <w:r w:rsidRPr="001B457C">
                        <w:rPr>
                          <w:szCs w:val="24"/>
                        </w:rPr>
                        <w:t>The Options Paper outlines three options for regulating Buy Now Pay Later, as follows:</w:t>
                      </w:r>
                    </w:p>
                    <w:p w14:paraId="321EB116" w14:textId="77777777" w:rsidR="006B54C7" w:rsidRPr="00043E26" w:rsidRDefault="006B54C7" w:rsidP="00B0567E">
                      <w:pPr>
                        <w:pStyle w:val="ListParagraph"/>
                        <w:numPr>
                          <w:ilvl w:val="0"/>
                          <w:numId w:val="19"/>
                        </w:numPr>
                        <w:rPr>
                          <w:b/>
                        </w:rPr>
                      </w:pPr>
                      <w:r w:rsidRPr="00043E26">
                        <w:rPr>
                          <w:b/>
                        </w:rPr>
                        <w:t>“Option 1: Strengthening the BNPL Industry Code plus an affordability test.</w:t>
                      </w:r>
                      <w:r w:rsidRPr="00043E26">
                        <w:t xml:space="preserve"> This option will impose a bespoke affordability assessment for BNPL providers under the Credit Act and address any other regulatory gaps in a strengthened Industry Code to make it fit-for-purpose.</w:t>
                      </w:r>
                    </w:p>
                    <w:p w14:paraId="5E7C6F4F" w14:textId="77777777" w:rsidR="006B54C7" w:rsidRPr="00043E26" w:rsidRDefault="006B54C7" w:rsidP="00B0567E">
                      <w:pPr>
                        <w:pStyle w:val="ListParagraph"/>
                        <w:numPr>
                          <w:ilvl w:val="0"/>
                          <w:numId w:val="19"/>
                        </w:numPr>
                        <w:rPr>
                          <w:b/>
                        </w:rPr>
                      </w:pPr>
                      <w:r w:rsidRPr="00043E26">
                        <w:rPr>
                          <w:b/>
                        </w:rPr>
                        <w:t xml:space="preserve">Option 2: Limited BNPL regulation under the Credit Act. </w:t>
                      </w:r>
                      <w:r w:rsidRPr="00043E26">
                        <w:t>This approach would require BNPL providers to obtain and maintain an ACL [Australian Credit Licence], plus introduce modified Responsible Lending Obligations (RLOs) under the Credit Act to determine unsuitability, combined with a strengthened Industry Code.</w:t>
                      </w:r>
                    </w:p>
                    <w:p w14:paraId="66C70D21" w14:textId="77777777" w:rsidR="006B54C7" w:rsidRPr="00043E26" w:rsidRDefault="006B54C7" w:rsidP="00B0567E">
                      <w:pPr>
                        <w:pStyle w:val="ListParagraph"/>
                        <w:numPr>
                          <w:ilvl w:val="0"/>
                          <w:numId w:val="19"/>
                        </w:numPr>
                        <w:rPr>
                          <w:b/>
                        </w:rPr>
                      </w:pPr>
                      <w:r w:rsidRPr="00043E26">
                        <w:rPr>
                          <w:b/>
                        </w:rPr>
                        <w:t xml:space="preserve">Option 3: Regulation of BNPL under the Credit Act, with full RLOs. </w:t>
                      </w:r>
                      <w:r w:rsidRPr="00043E26">
                        <w:t>Under this option, BNPL providers would need to obtain and maintain an ACL.</w:t>
                      </w:r>
                      <w:r w:rsidRPr="00043E26">
                        <w:rPr>
                          <w:b/>
                        </w:rPr>
                        <w:t xml:space="preserve"> </w:t>
                      </w:r>
                      <w:r w:rsidRPr="00043E26">
                        <w:t>The existing RLOs in the Credit Act will be applied to all BNPL credit, including requirements around reasonable inquiries into a consumer’s financial situation and taking reasonable steps to verify this information (Treasury 2022b, p.5).”</w:t>
                      </w:r>
                    </w:p>
                    <w:p w14:paraId="7D4F863F" w14:textId="77777777" w:rsidR="006B54C7" w:rsidRPr="001E135F" w:rsidRDefault="006B54C7" w:rsidP="006B54C7">
                      <w:pPr>
                        <w:rPr>
                          <w:sz w:val="22"/>
                          <w:szCs w:val="24"/>
                        </w:rPr>
                      </w:pPr>
                    </w:p>
                  </w:txbxContent>
                </v:textbox>
                <w10:wrap type="square"/>
              </v:shape>
            </w:pict>
          </mc:Fallback>
        </mc:AlternateContent>
      </w:r>
      <w:r w:rsidR="001702AE">
        <w:t>In November 2022, Treasury sought views on three broad options for regulating BNPL in Australia, which are reproduced in Box 3 below</w:t>
      </w:r>
      <w:r w:rsidR="001702AE" w:rsidRPr="003E779D">
        <w:rPr>
          <w:szCs w:val="24"/>
        </w:rPr>
        <w:t>.</w:t>
      </w:r>
    </w:p>
    <w:p w14:paraId="24C1B171" w14:textId="31E3EBBE" w:rsidR="001702AE" w:rsidRDefault="001702AE" w:rsidP="006B54C7">
      <w:pPr>
        <w:spacing w:before="600" w:after="240"/>
      </w:pPr>
      <w:r>
        <w:t xml:space="preserve">Over 50 organisations and individuals made submissions to the consultation process; these have been published on the Treasury website: </w:t>
      </w:r>
      <w:hyperlink r:id="rId12" w:history="1">
        <w:r>
          <w:rPr>
            <w:rStyle w:val="Hyperlink"/>
          </w:rPr>
          <w:t>Regulating Buy Now Pay Later in Australia</w:t>
        </w:r>
      </w:hyperlink>
      <w:r>
        <w:t xml:space="preserve">. The Close Lending Loopholes alliance, consisting of 22 not-for-profit and advocacy organisations including Anglicare Australia, made a submission to the Treasury consultation, which is available here: </w:t>
      </w:r>
      <w:hyperlink r:id="rId13" w:history="1">
        <w:r>
          <w:rPr>
            <w:rStyle w:val="Hyperlink"/>
          </w:rPr>
          <w:t>Close Lending Loopholes Submission</w:t>
        </w:r>
        <w:r w:rsidRPr="004C745D">
          <w:rPr>
            <w:rStyle w:val="Hyperlink"/>
            <w:color w:val="auto"/>
          </w:rPr>
          <w:t>.</w:t>
        </w:r>
      </w:hyperlink>
      <w:r>
        <w:t xml:space="preserve"> In that submission, the alliance argued: “BNPL is a credit product and should be regulated in the same way as other credit products, including credit cards and personal loans” </w:t>
      </w:r>
      <w:r>
        <w:rPr>
          <w:noProof/>
        </w:rPr>
        <w:t>(Close Lending Loopholes Coalition 2022)</w:t>
      </w:r>
      <w:r>
        <w:t xml:space="preserve">. </w:t>
      </w:r>
    </w:p>
    <w:p w14:paraId="35C11478" w14:textId="77777777" w:rsidR="001702AE" w:rsidRDefault="001702AE" w:rsidP="006B54C7">
      <w:pPr>
        <w:spacing w:after="240"/>
      </w:pPr>
      <w:r>
        <w:t>The alliance noted that BNPL has “unique characteristics that make it likely that its use will increase a consumer’s overall debt levels and contribute to financial over-commitment”, including:</w:t>
      </w:r>
    </w:p>
    <w:p w14:paraId="4B3AFFF5" w14:textId="77777777" w:rsidR="001702AE" w:rsidRDefault="001702AE" w:rsidP="005D72F8">
      <w:pPr>
        <w:pStyle w:val="Bullets"/>
      </w:pPr>
      <w:r>
        <w:t>Payments are structured over varying instalments which are not always traceable back to particular purchases.</w:t>
      </w:r>
    </w:p>
    <w:p w14:paraId="317A34F8" w14:textId="77777777" w:rsidR="001702AE" w:rsidRDefault="001702AE" w:rsidP="005D72F8">
      <w:pPr>
        <w:pStyle w:val="Bullets"/>
      </w:pPr>
      <w:r>
        <w:t xml:space="preserve">BNPLs feature an “ease of </w:t>
      </w:r>
      <w:proofErr w:type="gramStart"/>
      <w:r>
        <w:t>on-boarding</w:t>
      </w:r>
      <w:proofErr w:type="gramEnd"/>
      <w:r>
        <w:t xml:space="preserve"> and general lack of ‘friction’ for customers”.</w:t>
      </w:r>
    </w:p>
    <w:p w14:paraId="384ED534" w14:textId="77777777" w:rsidR="001702AE" w:rsidRDefault="001702AE" w:rsidP="005D72F8">
      <w:pPr>
        <w:pStyle w:val="Bullets"/>
      </w:pPr>
      <w:r>
        <w:t>Minimal information is required to open and use most BNPL accounts.</w:t>
      </w:r>
    </w:p>
    <w:p w14:paraId="4355EDD4" w14:textId="77777777" w:rsidR="001702AE" w:rsidRDefault="001702AE" w:rsidP="005D72F8">
      <w:pPr>
        <w:pStyle w:val="Bullets"/>
      </w:pPr>
      <w:r>
        <w:lastRenderedPageBreak/>
        <w:t>BNPL providers rely heavily on digital channels for engaging with customers.</w:t>
      </w:r>
    </w:p>
    <w:p w14:paraId="5291B1DC" w14:textId="77777777" w:rsidR="001702AE" w:rsidRDefault="001702AE" w:rsidP="005D72F8">
      <w:pPr>
        <w:pStyle w:val="Bullets"/>
      </w:pPr>
      <w:r>
        <w:t>Opening and using multiple BNPL accounts simultaneously, or making multiple purchases with one BNPL account, is relatively easy.</w:t>
      </w:r>
    </w:p>
    <w:p w14:paraId="3A612894" w14:textId="77777777" w:rsidR="001702AE" w:rsidRDefault="001702AE" w:rsidP="005D72F8">
      <w:pPr>
        <w:pStyle w:val="Bullets"/>
      </w:pPr>
      <w:r>
        <w:t xml:space="preserve">BNPL is being promoted by providers to pay for essentials </w:t>
      </w:r>
      <w:r>
        <w:rPr>
          <w:noProof/>
        </w:rPr>
        <w:t>(Close Lending Loopholes Coalition 2022)</w:t>
      </w:r>
      <w:r>
        <w:t>.</w:t>
      </w:r>
    </w:p>
    <w:p w14:paraId="3C5E7F92" w14:textId="77777777" w:rsidR="001702AE" w:rsidRDefault="001702AE" w:rsidP="006B54C7">
      <w:pPr>
        <w:spacing w:before="240" w:after="0"/>
      </w:pPr>
      <w:r>
        <w:t>Accordingly, the alliance concluded: “BNPL providers are causing significant harm and full regulation of BNPL in line with Option 3 is the only way to effectively address those harms”</w:t>
      </w:r>
      <w:r w:rsidRPr="00A913E5">
        <w:t xml:space="preserve"> </w:t>
      </w:r>
      <w:r>
        <w:rPr>
          <w:noProof/>
        </w:rPr>
        <w:t>(Close Lending Loopholes Coalition 2022)</w:t>
      </w:r>
      <w:r>
        <w:t>.</w:t>
      </w:r>
    </w:p>
    <w:p w14:paraId="1050DAA9" w14:textId="77777777" w:rsidR="001702AE" w:rsidRDefault="001702AE" w:rsidP="006B54C7">
      <w:pPr>
        <w:pStyle w:val="Heading2"/>
      </w:pPr>
      <w:bookmarkStart w:id="25" w:name="_Toc130396316"/>
      <w:bookmarkStart w:id="26" w:name="_Toc131232846"/>
      <w:r>
        <w:t>2.3 Emerging evidence of harms from Buy Now Pay Later debts for financial counselling clients</w:t>
      </w:r>
      <w:bookmarkEnd w:id="25"/>
      <w:bookmarkEnd w:id="26"/>
    </w:p>
    <w:p w14:paraId="08E137FA" w14:textId="77777777" w:rsidR="001702AE" w:rsidRDefault="001702AE" w:rsidP="006B54C7">
      <w:pPr>
        <w:spacing w:after="240"/>
      </w:pPr>
      <w:r>
        <w:t>In recent years, several Australian not-for-profit and advocacy organisations have researched how using Buy Now Pay Later can impact people in financial stress. A national survey of financial counsellors conducted by Financial Counselling Australia found that:</w:t>
      </w:r>
    </w:p>
    <w:p w14:paraId="432D163C" w14:textId="77777777" w:rsidR="001702AE" w:rsidRDefault="001702AE" w:rsidP="005D72F8">
      <w:pPr>
        <w:pStyle w:val="Bullets"/>
      </w:pPr>
      <w:r>
        <w:t>There has been a sharp increase in the number of people presenting to financial counselling services with BNPL debts in the past 12 months.</w:t>
      </w:r>
    </w:p>
    <w:p w14:paraId="33BAE047" w14:textId="77777777" w:rsidR="001702AE" w:rsidRDefault="001702AE" w:rsidP="005D72F8">
      <w:pPr>
        <w:pStyle w:val="Bullets"/>
      </w:pPr>
      <w:r>
        <w:t>Many clients are prioritising BNPL repayments over other essential expenses, like food and rent, to keep their BNPL accounts open.</w:t>
      </w:r>
    </w:p>
    <w:p w14:paraId="233ACD86" w14:textId="77777777" w:rsidR="001702AE" w:rsidRDefault="001702AE" w:rsidP="005D72F8">
      <w:pPr>
        <w:pStyle w:val="Bullets"/>
      </w:pPr>
      <w:r>
        <w:t>A general lack of affordability assessments and credit checks makes BNPL easy to access by people in financial stress.</w:t>
      </w:r>
    </w:p>
    <w:p w14:paraId="21EB5D55" w14:textId="77777777" w:rsidR="001702AE" w:rsidRDefault="001702AE" w:rsidP="005D72F8">
      <w:pPr>
        <w:pStyle w:val="Bullets"/>
      </w:pPr>
      <w:r>
        <w:t>People are becoming overcommitted with multiple BNPL accounts.</w:t>
      </w:r>
    </w:p>
    <w:p w14:paraId="5D683C93" w14:textId="77777777" w:rsidR="001702AE" w:rsidRDefault="001702AE" w:rsidP="005D72F8">
      <w:pPr>
        <w:pStyle w:val="Bullets"/>
      </w:pPr>
      <w:r>
        <w:t>BNPL is being used to pay for essentials.</w:t>
      </w:r>
    </w:p>
    <w:p w14:paraId="02E8C42C" w14:textId="77777777" w:rsidR="001702AE" w:rsidRDefault="001702AE" w:rsidP="005D72F8">
      <w:pPr>
        <w:pStyle w:val="Bullets"/>
      </w:pPr>
      <w:r>
        <w:t>BNPL companies are falling short in their support to customers in hardship.</w:t>
      </w:r>
    </w:p>
    <w:p w14:paraId="36BA8D9F" w14:textId="77777777" w:rsidR="001702AE" w:rsidRPr="00976087" w:rsidRDefault="001702AE" w:rsidP="005D72F8">
      <w:pPr>
        <w:pStyle w:val="Bullets"/>
      </w:pPr>
      <w:r>
        <w:t xml:space="preserve">BNPL needs to be regulated to safeguard consumers </w:t>
      </w:r>
      <w:r>
        <w:rPr>
          <w:noProof/>
        </w:rPr>
        <w:t>(Financial Counselling Australia 2021)</w:t>
      </w:r>
      <w:r>
        <w:t>.</w:t>
      </w:r>
    </w:p>
    <w:p w14:paraId="2DD7EB1A" w14:textId="77777777" w:rsidR="001702AE" w:rsidRDefault="001702AE" w:rsidP="006B54C7">
      <w:pPr>
        <w:spacing w:before="240" w:after="240"/>
      </w:pPr>
      <w:r>
        <w:t>Good Shepherd’s research into the impacts of BNPL on clients of their financial counselling services and No Interest Loans Scheme (NILS) in NSW found that:</w:t>
      </w:r>
    </w:p>
    <w:p w14:paraId="4F6302DC" w14:textId="77777777" w:rsidR="001702AE" w:rsidRDefault="001702AE" w:rsidP="005D72F8">
      <w:pPr>
        <w:pStyle w:val="Bullets"/>
      </w:pPr>
      <w:bookmarkStart w:id="27" w:name="_Hlk129695778"/>
      <w:r>
        <w:t>BNPL use is pervasive and growing rapidly.</w:t>
      </w:r>
    </w:p>
    <w:bookmarkEnd w:id="27"/>
    <w:p w14:paraId="24719787" w14:textId="77777777" w:rsidR="001702AE" w:rsidRDefault="001702AE" w:rsidP="005D72F8">
      <w:pPr>
        <w:pStyle w:val="Bullets"/>
      </w:pPr>
      <w:r>
        <w:t>People on low incomes are using BNPL to pay for essentials.</w:t>
      </w:r>
    </w:p>
    <w:p w14:paraId="34CED535" w14:textId="77777777" w:rsidR="001702AE" w:rsidRDefault="001702AE" w:rsidP="005D72F8">
      <w:pPr>
        <w:pStyle w:val="Bullets"/>
      </w:pPr>
      <w:r>
        <w:t>Clients have missed other essential payments, or cut back on or gone without essentials, in order to service BNPL debts.</w:t>
      </w:r>
    </w:p>
    <w:p w14:paraId="7DD630CF" w14:textId="77777777" w:rsidR="001702AE" w:rsidRDefault="001702AE" w:rsidP="005D72F8">
      <w:pPr>
        <w:pStyle w:val="Bullets"/>
      </w:pPr>
      <w:r>
        <w:t>BNPL has become “an avenue for financial abuse” via “coercive debt”.</w:t>
      </w:r>
    </w:p>
    <w:p w14:paraId="1D1B7E3F" w14:textId="77777777" w:rsidR="001702AE" w:rsidRDefault="001702AE" w:rsidP="005D72F8">
      <w:pPr>
        <w:pStyle w:val="Bullets"/>
      </w:pPr>
      <w:r>
        <w:t>Financial precarity, especially among women, is fuelling the growth of BNPL use.</w:t>
      </w:r>
    </w:p>
    <w:p w14:paraId="6B207293" w14:textId="3388E30A" w:rsidR="005D72F8" w:rsidRDefault="001702AE" w:rsidP="00B0567E">
      <w:pPr>
        <w:pStyle w:val="Bullets"/>
      </w:pPr>
      <w:r>
        <w:t xml:space="preserve">BNPL use is arguably taking the place of adequate social security payments </w:t>
      </w:r>
      <w:r>
        <w:rPr>
          <w:noProof/>
        </w:rPr>
        <w:t>(Good Shepherd 2022)</w:t>
      </w:r>
      <w:r>
        <w:t>.</w:t>
      </w:r>
      <w:r w:rsidR="005D72F8">
        <w:br w:type="page"/>
      </w:r>
    </w:p>
    <w:p w14:paraId="656174B6" w14:textId="5D92FDD3" w:rsidR="001702AE" w:rsidRDefault="001702AE" w:rsidP="006B54C7">
      <w:pPr>
        <w:spacing w:after="240"/>
      </w:pPr>
      <w:r>
        <w:lastRenderedPageBreak/>
        <w:t>Recently, Way Forward, an Australian debt management charity, surveyed its clients and found that:</w:t>
      </w:r>
    </w:p>
    <w:p w14:paraId="66C7606D" w14:textId="77777777" w:rsidR="001702AE" w:rsidRPr="009F5120" w:rsidRDefault="001702AE" w:rsidP="005D72F8">
      <w:pPr>
        <w:pStyle w:val="Bullets"/>
      </w:pPr>
      <w:r w:rsidRPr="009F5120">
        <w:t>Many people in financial difficulty use BNPL on top of their existing debts, and when no other source of credit is available to them.</w:t>
      </w:r>
    </w:p>
    <w:p w14:paraId="09CB2E89" w14:textId="77777777" w:rsidR="001702AE" w:rsidRPr="009F5120" w:rsidRDefault="001702AE" w:rsidP="005D72F8">
      <w:pPr>
        <w:pStyle w:val="Bullets"/>
      </w:pPr>
      <w:r w:rsidRPr="009F5120">
        <w:t>People in financial difficulty are mainly positive towards BNPL and appreciate its simplicity and ease of access.</w:t>
      </w:r>
    </w:p>
    <w:p w14:paraId="52C4F7B0" w14:textId="77777777" w:rsidR="001702AE" w:rsidRPr="009F5120" w:rsidRDefault="001702AE" w:rsidP="005D72F8">
      <w:pPr>
        <w:pStyle w:val="Bullets"/>
      </w:pPr>
      <w:r w:rsidRPr="009F5120">
        <w:t xml:space="preserve">Worrying over essentials means poorer mental health outcomes for those in financial difficulty </w:t>
      </w:r>
      <w:r>
        <w:rPr>
          <w:noProof/>
        </w:rPr>
        <w:t>(Way Forward 2022)</w:t>
      </w:r>
      <w:r w:rsidRPr="009F5120">
        <w:t xml:space="preserve">. </w:t>
      </w:r>
    </w:p>
    <w:p w14:paraId="695F046F" w14:textId="77777777" w:rsidR="001702AE" w:rsidRPr="009F5120" w:rsidRDefault="001702AE" w:rsidP="006B54C7">
      <w:pPr>
        <w:rPr>
          <w:rFonts w:asciiTheme="majorHAnsi" w:eastAsiaTheme="majorEastAsia" w:hAnsiTheme="majorHAnsi" w:cstheme="majorBidi"/>
          <w:b/>
          <w:szCs w:val="32"/>
        </w:rPr>
      </w:pPr>
      <w:r w:rsidRPr="009F5120">
        <w:br w:type="page"/>
      </w:r>
    </w:p>
    <w:p w14:paraId="7D3A0CEF" w14:textId="77777777" w:rsidR="001702AE" w:rsidRPr="00FA73EF" w:rsidRDefault="001702AE" w:rsidP="006B54C7">
      <w:pPr>
        <w:pStyle w:val="Heading1"/>
      </w:pPr>
      <w:bookmarkStart w:id="28" w:name="_Toc130396317"/>
      <w:bookmarkStart w:id="29" w:name="_Toc131232847"/>
      <w:r>
        <w:lastRenderedPageBreak/>
        <w:t xml:space="preserve">3. Financial Counsellors’ experiences of Buy Now Pay Later: </w:t>
      </w:r>
      <w:bookmarkEnd w:id="28"/>
      <w:r>
        <w:t>Survey results</w:t>
      </w:r>
      <w:bookmarkEnd w:id="29"/>
    </w:p>
    <w:p w14:paraId="370F1B45" w14:textId="77777777" w:rsidR="001702AE" w:rsidRDefault="001702AE" w:rsidP="006B54C7">
      <w:pPr>
        <w:pStyle w:val="Heading2"/>
      </w:pPr>
      <w:bookmarkStart w:id="30" w:name="_Toc131232848"/>
      <w:r>
        <w:t>Key findings</w:t>
      </w:r>
      <w:bookmarkEnd w:id="30"/>
    </w:p>
    <w:p w14:paraId="5995F603" w14:textId="77777777" w:rsidR="001702AE" w:rsidRPr="004D51AE" w:rsidRDefault="001702AE" w:rsidP="006B54C7">
      <w:pPr>
        <w:spacing w:after="240"/>
      </w:pPr>
      <w:r>
        <w:t>Responding to Anglicare Tasmania’s survey about the impacts of Buy Now Pay Later (BNPL) on clients, Financial Counsellors told us:</w:t>
      </w:r>
    </w:p>
    <w:p w14:paraId="690BCA06" w14:textId="77777777" w:rsidR="001702AE" w:rsidRPr="00DF0BF4" w:rsidRDefault="001702AE" w:rsidP="005D72F8">
      <w:pPr>
        <w:pStyle w:val="Bullets"/>
        <w:rPr>
          <w:i/>
        </w:rPr>
      </w:pPr>
      <w:r>
        <w:t>M</w:t>
      </w:r>
      <w:r w:rsidRPr="00DF0BF4">
        <w:t xml:space="preserve">ost </w:t>
      </w:r>
      <w:r>
        <w:t xml:space="preserve">of their </w:t>
      </w:r>
      <w:r w:rsidRPr="00DF0BF4">
        <w:t>clients</w:t>
      </w:r>
      <w:r>
        <w:t xml:space="preserve"> are</w:t>
      </w:r>
      <w:r w:rsidRPr="00DF0BF4">
        <w:t xml:space="preserve"> present</w:t>
      </w:r>
      <w:r>
        <w:t>ing</w:t>
      </w:r>
      <w:r w:rsidRPr="00DF0BF4">
        <w:t xml:space="preserve"> with one or more BNPL debts</w:t>
      </w:r>
      <w:r>
        <w:t xml:space="preserve">, </w:t>
      </w:r>
      <w:r w:rsidRPr="00DF0BF4">
        <w:t xml:space="preserve">and more </w:t>
      </w:r>
      <w:r>
        <w:t xml:space="preserve">clients are presenting </w:t>
      </w:r>
      <w:r w:rsidRPr="00DF0BF4">
        <w:t xml:space="preserve">with BNPL debts </w:t>
      </w:r>
      <w:r>
        <w:t xml:space="preserve">than </w:t>
      </w:r>
      <w:r w:rsidRPr="00DF0BF4">
        <w:t xml:space="preserve">12 months ago. </w:t>
      </w:r>
    </w:p>
    <w:p w14:paraId="04522877" w14:textId="77777777" w:rsidR="001702AE" w:rsidRPr="0047751A" w:rsidRDefault="001702AE" w:rsidP="005D72F8">
      <w:pPr>
        <w:pStyle w:val="Bullets"/>
      </w:pPr>
      <w:r>
        <w:t>Few clients</w:t>
      </w:r>
      <w:r w:rsidRPr="0047751A">
        <w:t xml:space="preserve"> with BNPL debts recognise them as a type of credit. </w:t>
      </w:r>
    </w:p>
    <w:p w14:paraId="5EE7205D" w14:textId="77777777" w:rsidR="001702AE" w:rsidRPr="00B859B4" w:rsidRDefault="001702AE" w:rsidP="005D72F8">
      <w:pPr>
        <w:pStyle w:val="Bullets"/>
      </w:pPr>
      <w:r w:rsidRPr="00B859B4">
        <w:t xml:space="preserve">The most common item that clients purchased with BNPL was food and groceries. </w:t>
      </w:r>
    </w:p>
    <w:p w14:paraId="63D18665" w14:textId="77777777" w:rsidR="001702AE" w:rsidRDefault="001702AE" w:rsidP="005D72F8">
      <w:pPr>
        <w:pStyle w:val="Bullets"/>
      </w:pPr>
      <w:r>
        <w:t>Some</w:t>
      </w:r>
      <w:r w:rsidRPr="002A52F5">
        <w:t xml:space="preserve"> Financial Counsellors observed that clients </w:t>
      </w:r>
      <w:r>
        <w:t>were using</w:t>
      </w:r>
      <w:r w:rsidRPr="002A52F5">
        <w:t xml:space="preserve"> BNPL products to </w:t>
      </w:r>
      <w:r>
        <w:t>purchase</w:t>
      </w:r>
      <w:r w:rsidRPr="002A52F5">
        <w:t xml:space="preserve"> </w:t>
      </w:r>
      <w:r w:rsidRPr="00A428C6">
        <w:rPr>
          <w:iCs/>
        </w:rPr>
        <w:t>more items or more expensive</w:t>
      </w:r>
      <w:r w:rsidRPr="002A52F5">
        <w:t xml:space="preserve"> items than they otherwise would</w:t>
      </w:r>
      <w:r>
        <w:t xml:space="preserve"> have</w:t>
      </w:r>
      <w:r w:rsidRPr="002A52F5">
        <w:t>.</w:t>
      </w:r>
    </w:p>
    <w:p w14:paraId="781DBF22" w14:textId="77777777" w:rsidR="001702AE" w:rsidRPr="00B859B4" w:rsidRDefault="001702AE" w:rsidP="005D72F8">
      <w:pPr>
        <w:pStyle w:val="Bullets"/>
      </w:pPr>
      <w:r w:rsidRPr="00B859B4">
        <w:t xml:space="preserve">Some clients had cut back on or gone without essentials in order to make BNPL repayments. </w:t>
      </w:r>
    </w:p>
    <w:p w14:paraId="283A7184" w14:textId="77777777" w:rsidR="001702AE" w:rsidRPr="003E779D" w:rsidRDefault="001702AE" w:rsidP="005D72F8">
      <w:pPr>
        <w:pStyle w:val="Bullets"/>
      </w:pPr>
      <w:r>
        <w:t>BNPL products are thought to be causing clients the most severe financial difficulties, followed by ‘payday’ loans and utilities bills.</w:t>
      </w:r>
    </w:p>
    <w:p w14:paraId="652199A9" w14:textId="77777777" w:rsidR="001702AE" w:rsidRPr="003E5137" w:rsidRDefault="001702AE" w:rsidP="005D72F8">
      <w:pPr>
        <w:pStyle w:val="Bullets"/>
      </w:pPr>
      <w:r>
        <w:t>Some clients may have been coerced into taking out BNPL debts or may have had them taken out without their knowledge, by their current or former intimate partner.</w:t>
      </w:r>
    </w:p>
    <w:p w14:paraId="5510D7E3" w14:textId="77777777" w:rsidR="001702AE" w:rsidRDefault="001702AE" w:rsidP="005D72F8">
      <w:pPr>
        <w:pStyle w:val="Bullets"/>
      </w:pPr>
      <w:r>
        <w:t>Hardship policies and practices of BNPL providers are sometimes helpful for clients.</w:t>
      </w:r>
    </w:p>
    <w:p w14:paraId="02370419" w14:textId="77777777" w:rsidR="001702AE" w:rsidRDefault="001702AE" w:rsidP="005D72F8">
      <w:pPr>
        <w:pStyle w:val="Bullets"/>
      </w:pPr>
      <w:r>
        <w:t>BNPL products are sometimes helpful for clients, although this isn’t common.</w:t>
      </w:r>
    </w:p>
    <w:p w14:paraId="13A4E463" w14:textId="77777777" w:rsidR="001702AE" w:rsidRPr="00DF0BF4" w:rsidRDefault="001702AE" w:rsidP="005D72F8">
      <w:pPr>
        <w:pStyle w:val="Bullets"/>
      </w:pPr>
      <w:r w:rsidRPr="00DF0BF4">
        <w:t>BNPL products need to be better regulated in Australia</w:t>
      </w:r>
      <w:r>
        <w:t>.</w:t>
      </w:r>
      <w:r w:rsidRPr="00DF0BF4">
        <w:t xml:space="preserve"> </w:t>
      </w:r>
    </w:p>
    <w:p w14:paraId="37DA7160" w14:textId="77777777" w:rsidR="001702AE" w:rsidRDefault="001702AE" w:rsidP="006B54C7">
      <w:pPr>
        <w:pStyle w:val="Heading2"/>
      </w:pPr>
      <w:bookmarkStart w:id="31" w:name="_Toc130396319"/>
      <w:bookmarkStart w:id="32" w:name="_Toc131232849"/>
      <w:r>
        <w:t>3</w:t>
      </w:r>
      <w:r w:rsidRPr="0060438F">
        <w:t xml:space="preserve">.1 </w:t>
      </w:r>
      <w:r>
        <w:t>Introduction</w:t>
      </w:r>
      <w:bookmarkEnd w:id="31"/>
      <w:bookmarkEnd w:id="32"/>
    </w:p>
    <w:p w14:paraId="523C3E53" w14:textId="77777777" w:rsidR="001702AE" w:rsidRDefault="001702AE" w:rsidP="006B54C7">
      <w:pPr>
        <w:spacing w:after="240"/>
        <w:rPr>
          <w:rFonts w:cstheme="minorHAnsi"/>
        </w:rPr>
      </w:pPr>
      <w:r>
        <w:rPr>
          <w:rFonts w:cstheme="minorHAnsi"/>
        </w:rPr>
        <w:t xml:space="preserve">In December 2022, we conducted a survey of Anglicare Tasmania’s Financial Counsellors. Anglicare </w:t>
      </w:r>
      <w:r w:rsidRPr="00276E85">
        <w:rPr>
          <w:rFonts w:cstheme="minorHAnsi"/>
        </w:rPr>
        <w:t>Tasmania employs 15 Financial Counsellors, all of whom were invited to participate in the survey.</w:t>
      </w:r>
      <w:r>
        <w:rPr>
          <w:rFonts w:cstheme="minorHAnsi"/>
        </w:rPr>
        <w:t xml:space="preserve"> The replies and comments we received reflect thousands of </w:t>
      </w:r>
      <w:proofErr w:type="gramStart"/>
      <w:r>
        <w:rPr>
          <w:rFonts w:cstheme="minorHAnsi"/>
        </w:rPr>
        <w:t>hours of service</w:t>
      </w:r>
      <w:proofErr w:type="gramEnd"/>
      <w:r>
        <w:rPr>
          <w:rFonts w:cstheme="minorHAnsi"/>
        </w:rPr>
        <w:t xml:space="preserve"> delivery to thousands of clients; in 2022 alone, Anglicare Tasmania’s Financial Counsellors delivered </w:t>
      </w:r>
      <w:r w:rsidRPr="00876332">
        <w:rPr>
          <w:rFonts w:cstheme="minorHAnsi"/>
        </w:rPr>
        <w:t>over 4,700 hours of services to more than 2,100 active clients.</w:t>
      </w:r>
      <w:r>
        <w:rPr>
          <w:rFonts w:cstheme="minorHAnsi"/>
        </w:rPr>
        <w:t xml:space="preserve"> </w:t>
      </w:r>
    </w:p>
    <w:p w14:paraId="6C2FD6CF" w14:textId="77777777" w:rsidR="001702AE" w:rsidRDefault="001702AE" w:rsidP="006B54C7">
      <w:pPr>
        <w:spacing w:after="240"/>
        <w:rPr>
          <w:szCs w:val="24"/>
        </w:rPr>
      </w:pPr>
      <w:r>
        <w:rPr>
          <w:rFonts w:cstheme="minorHAnsi"/>
        </w:rPr>
        <w:t>Refer to Appendix A for the survey methodology, Appendix B for the survey and Appendix C for the quantitative results of the survey.</w:t>
      </w:r>
    </w:p>
    <w:p w14:paraId="0250A92E" w14:textId="77777777" w:rsidR="001702AE" w:rsidRDefault="001702AE">
      <w:pPr>
        <w:spacing w:before="0" w:after="0"/>
        <w:rPr>
          <w:rFonts w:ascii="Avenir Next Demi Bold" w:hAnsi="Avenir Next Demi Bold"/>
          <w:b/>
          <w:sz w:val="32"/>
          <w:szCs w:val="32"/>
        </w:rPr>
      </w:pPr>
      <w:r>
        <w:br w:type="page"/>
      </w:r>
    </w:p>
    <w:p w14:paraId="6B77056D" w14:textId="77777777" w:rsidR="001702AE" w:rsidRDefault="001702AE" w:rsidP="006B54C7">
      <w:pPr>
        <w:pStyle w:val="Heading3"/>
      </w:pPr>
      <w:bookmarkStart w:id="33" w:name="_Toc131232850"/>
      <w:r>
        <w:lastRenderedPageBreak/>
        <w:t>BNPL debts are more common than 12 months ago</w:t>
      </w:r>
      <w:bookmarkEnd w:id="33"/>
    </w:p>
    <w:p w14:paraId="50181DE3" w14:textId="77777777" w:rsidR="001702AE" w:rsidRDefault="001702AE" w:rsidP="006B54C7">
      <w:pPr>
        <w:spacing w:after="240"/>
        <w:rPr>
          <w:szCs w:val="24"/>
        </w:rPr>
      </w:pPr>
      <w:r>
        <w:t xml:space="preserve">Seventy per cent of respondents said </w:t>
      </w:r>
      <w:r w:rsidRPr="008458A2">
        <w:t xml:space="preserve">that clients </w:t>
      </w:r>
      <w:r>
        <w:t>we</w:t>
      </w:r>
      <w:r w:rsidRPr="008458A2">
        <w:t>re presenting with BNPL</w:t>
      </w:r>
      <w:r>
        <w:t xml:space="preserve"> debts</w:t>
      </w:r>
      <w:r w:rsidRPr="008458A2">
        <w:t xml:space="preserve"> either </w:t>
      </w:r>
      <w:r>
        <w:t>‘m</w:t>
      </w:r>
      <w:r w:rsidRPr="008458A2">
        <w:t>ore now</w:t>
      </w:r>
      <w:r>
        <w:t>’</w:t>
      </w:r>
      <w:r w:rsidRPr="008458A2">
        <w:t xml:space="preserve"> or </w:t>
      </w:r>
      <w:r>
        <w:t>‘a</w:t>
      </w:r>
      <w:r w:rsidRPr="008458A2">
        <w:t xml:space="preserve"> lot more now</w:t>
      </w:r>
      <w:r>
        <w:t>’</w:t>
      </w:r>
      <w:r w:rsidRPr="008458A2">
        <w:t xml:space="preserve"> </w:t>
      </w:r>
      <w:r>
        <w:t xml:space="preserve">compared to </w:t>
      </w:r>
      <w:r w:rsidRPr="008458A2">
        <w:t>12 months ago.</w:t>
      </w:r>
      <w:r>
        <w:t xml:space="preserve"> Less than one-third answered, ‘about the same now’ compared to 12 months ago. No one agreed that ‘fewer’ or ‘a lot fewer’ clients were presenting with BNPL debts compared to 12 months ago.</w:t>
      </w:r>
      <w:r>
        <w:rPr>
          <w:szCs w:val="24"/>
        </w:rPr>
        <w:t xml:space="preserve"> </w:t>
      </w:r>
    </w:p>
    <w:p w14:paraId="483F5E9D" w14:textId="77777777" w:rsidR="001702AE" w:rsidRDefault="001702AE" w:rsidP="006B54C7">
      <w:pPr>
        <w:spacing w:after="240"/>
        <w:rPr>
          <w:szCs w:val="24"/>
        </w:rPr>
      </w:pPr>
      <w:r>
        <w:rPr>
          <w:szCs w:val="24"/>
        </w:rPr>
        <w:t>Financial Counsellors told us:</w:t>
      </w:r>
    </w:p>
    <w:p w14:paraId="421D7C03" w14:textId="77777777" w:rsidR="001702AE" w:rsidRPr="00CB49D2" w:rsidRDefault="001702AE" w:rsidP="006B54C7">
      <w:pPr>
        <w:spacing w:after="240"/>
        <w:ind w:firstLine="284"/>
        <w:rPr>
          <w:b/>
          <w:i/>
          <w:szCs w:val="24"/>
        </w:rPr>
      </w:pPr>
      <w:r w:rsidRPr="00CB49D2">
        <w:rPr>
          <w:b/>
          <w:i/>
          <w:szCs w:val="24"/>
        </w:rPr>
        <w:t>“It is very rare now for a client to present without at least one BNPL debt.”</w:t>
      </w:r>
    </w:p>
    <w:p w14:paraId="002B43CE" w14:textId="77777777" w:rsidR="001702AE" w:rsidRPr="0093107A" w:rsidRDefault="001702AE" w:rsidP="006B54C7">
      <w:pPr>
        <w:spacing w:after="240"/>
        <w:ind w:firstLine="284"/>
        <w:rPr>
          <w:i/>
          <w:szCs w:val="24"/>
        </w:rPr>
      </w:pPr>
      <w:r>
        <w:rPr>
          <w:i/>
          <w:szCs w:val="24"/>
        </w:rPr>
        <w:t>“</w:t>
      </w:r>
      <w:r w:rsidRPr="0093107A">
        <w:rPr>
          <w:i/>
          <w:szCs w:val="24"/>
        </w:rPr>
        <w:t xml:space="preserve">I was almost prepared to say </w:t>
      </w:r>
      <w:r>
        <w:rPr>
          <w:i/>
          <w:szCs w:val="24"/>
        </w:rPr>
        <w:t>‘</w:t>
      </w:r>
      <w:r w:rsidRPr="0093107A">
        <w:rPr>
          <w:i/>
          <w:szCs w:val="24"/>
        </w:rPr>
        <w:t>all</w:t>
      </w:r>
      <w:r>
        <w:rPr>
          <w:i/>
          <w:szCs w:val="24"/>
        </w:rPr>
        <w:t>’</w:t>
      </w:r>
      <w:r w:rsidRPr="0093107A">
        <w:rPr>
          <w:i/>
          <w:szCs w:val="24"/>
        </w:rPr>
        <w:t>, however there are still a few who do not.</w:t>
      </w:r>
      <w:r>
        <w:rPr>
          <w:i/>
          <w:szCs w:val="24"/>
        </w:rPr>
        <w:t>”</w:t>
      </w:r>
    </w:p>
    <w:p w14:paraId="16D4D89B" w14:textId="77777777" w:rsidR="001702AE" w:rsidRPr="0093107A" w:rsidRDefault="001702AE" w:rsidP="006B54C7">
      <w:pPr>
        <w:spacing w:after="240"/>
        <w:ind w:firstLine="284"/>
        <w:rPr>
          <w:i/>
          <w:szCs w:val="24"/>
        </w:rPr>
      </w:pPr>
      <w:r>
        <w:rPr>
          <w:i/>
          <w:szCs w:val="24"/>
        </w:rPr>
        <w:t>“</w:t>
      </w:r>
      <w:r w:rsidRPr="0093107A">
        <w:rPr>
          <w:i/>
          <w:szCs w:val="24"/>
        </w:rPr>
        <w:t>Most of my clients have at least 1 BNPL product but many of them have up to 4 or 5.</w:t>
      </w:r>
      <w:r>
        <w:rPr>
          <w:i/>
          <w:szCs w:val="24"/>
        </w:rPr>
        <w:t>”</w:t>
      </w:r>
    </w:p>
    <w:p w14:paraId="7E867092" w14:textId="77777777" w:rsidR="001702AE" w:rsidRPr="00CB49D2" w:rsidRDefault="001702AE" w:rsidP="006B54C7">
      <w:pPr>
        <w:spacing w:after="240"/>
        <w:ind w:left="284"/>
        <w:rPr>
          <w:b/>
          <w:i/>
        </w:rPr>
      </w:pPr>
      <w:r w:rsidRPr="00CB49D2">
        <w:rPr>
          <w:rFonts w:ascii="Calibri" w:eastAsia="Times New Roman" w:hAnsi="Calibri" w:cs="Calibri"/>
          <w:b/>
          <w:i/>
          <w:lang w:eastAsia="en-AU"/>
        </w:rPr>
        <w:t xml:space="preserve">“Twelve months ago, it was rare to have someone with a BNPL debt. </w:t>
      </w:r>
      <w:r>
        <w:rPr>
          <w:rFonts w:ascii="Calibri" w:eastAsia="Times New Roman" w:hAnsi="Calibri" w:cs="Calibri"/>
          <w:b/>
          <w:i/>
          <w:lang w:eastAsia="en-AU"/>
        </w:rPr>
        <w:t xml:space="preserve">… </w:t>
      </w:r>
      <w:r w:rsidRPr="00CB49D2">
        <w:rPr>
          <w:rFonts w:ascii="Calibri" w:eastAsia="Times New Roman" w:hAnsi="Calibri" w:cs="Calibri"/>
          <w:b/>
          <w:i/>
          <w:lang w:eastAsia="en-AU"/>
        </w:rPr>
        <w:t>There</w:t>
      </w:r>
      <w:r>
        <w:rPr>
          <w:rFonts w:ascii="Calibri" w:eastAsia="Times New Roman" w:hAnsi="Calibri" w:cs="Calibri"/>
          <w:b/>
          <w:i/>
          <w:lang w:eastAsia="en-AU"/>
        </w:rPr>
        <w:t xml:space="preserve"> </w:t>
      </w:r>
      <w:r w:rsidRPr="00CB49D2">
        <w:rPr>
          <w:rFonts w:ascii="Calibri" w:eastAsia="Times New Roman" w:hAnsi="Calibri" w:cs="Calibri"/>
          <w:b/>
          <w:i/>
          <w:lang w:eastAsia="en-AU"/>
        </w:rPr>
        <w:t>has been a proliferation of companies since. Most days, I come across one I have not heard of before.”</w:t>
      </w:r>
    </w:p>
    <w:p w14:paraId="06999D71" w14:textId="77777777" w:rsidR="001702AE" w:rsidRDefault="001702AE" w:rsidP="006B54C7">
      <w:pPr>
        <w:pStyle w:val="Heading3"/>
      </w:pPr>
      <w:bookmarkStart w:id="34" w:name="_Toc131232851"/>
      <w:r>
        <w:t>Many clients have multiple Buy Now Pay Later debts or accounts</w:t>
      </w:r>
      <w:bookmarkEnd w:id="34"/>
    </w:p>
    <w:p w14:paraId="4E399C3E" w14:textId="77777777" w:rsidR="001702AE" w:rsidRPr="00690A51" w:rsidRDefault="001702AE" w:rsidP="006B54C7">
      <w:pPr>
        <w:spacing w:after="240"/>
      </w:pPr>
      <w:r>
        <w:t>Financial Counsellors told us:</w:t>
      </w:r>
    </w:p>
    <w:p w14:paraId="132BC61A" w14:textId="77777777" w:rsidR="001702AE" w:rsidRPr="000C7C42" w:rsidRDefault="001702AE" w:rsidP="006B54C7">
      <w:pPr>
        <w:spacing w:after="240"/>
        <w:ind w:left="284"/>
        <w:rPr>
          <w:i/>
          <w:szCs w:val="24"/>
        </w:rPr>
      </w:pPr>
      <w:r>
        <w:rPr>
          <w:i/>
          <w:szCs w:val="24"/>
        </w:rPr>
        <w:t>“</w:t>
      </w:r>
      <w:r w:rsidRPr="000C7C42">
        <w:rPr>
          <w:i/>
          <w:szCs w:val="24"/>
        </w:rPr>
        <w:t>It is telling that even clients who are managing financially are also presenting with 2 or 3 (or 4 or 5) active BNPL accounts that are currently not in use, however, if they were to use all of these facilities at the same time, they would be grossly overcommitted.</w:t>
      </w:r>
      <w:r>
        <w:rPr>
          <w:i/>
          <w:szCs w:val="24"/>
        </w:rPr>
        <w:t>”</w:t>
      </w:r>
    </w:p>
    <w:p w14:paraId="115B832E" w14:textId="77777777" w:rsidR="001702AE" w:rsidRPr="000C7C42" w:rsidRDefault="001702AE" w:rsidP="006B54C7">
      <w:pPr>
        <w:spacing w:after="240"/>
        <w:ind w:left="284"/>
        <w:rPr>
          <w:i/>
          <w:szCs w:val="24"/>
        </w:rPr>
      </w:pPr>
      <w:r>
        <w:rPr>
          <w:i/>
          <w:szCs w:val="24"/>
        </w:rPr>
        <w:t>“</w:t>
      </w:r>
      <w:r w:rsidRPr="000C7C42">
        <w:rPr>
          <w:i/>
          <w:szCs w:val="24"/>
        </w:rPr>
        <w:t>Last week, I saw a person who had 12 [</w:t>
      </w:r>
      <w:r>
        <w:rPr>
          <w:i/>
          <w:szCs w:val="24"/>
        </w:rPr>
        <w:t xml:space="preserve">BNPL </w:t>
      </w:r>
      <w:r w:rsidRPr="000C7C42">
        <w:rPr>
          <w:i/>
          <w:szCs w:val="24"/>
        </w:rPr>
        <w:t xml:space="preserve">debts]; they had a good paying job but </w:t>
      </w:r>
      <w:r>
        <w:rPr>
          <w:i/>
          <w:szCs w:val="24"/>
        </w:rPr>
        <w:t xml:space="preserve">[were] </w:t>
      </w:r>
      <w:r w:rsidRPr="000C7C42">
        <w:rPr>
          <w:i/>
          <w:szCs w:val="24"/>
        </w:rPr>
        <w:t>still struggling, having to make payments 12 out of 14 days each fortnight.</w:t>
      </w:r>
      <w:r>
        <w:rPr>
          <w:i/>
          <w:szCs w:val="24"/>
        </w:rPr>
        <w:t>”</w:t>
      </w:r>
    </w:p>
    <w:p w14:paraId="7EC423DE" w14:textId="77777777" w:rsidR="001702AE" w:rsidRPr="00CB49D2" w:rsidRDefault="001702AE" w:rsidP="006B54C7">
      <w:pPr>
        <w:spacing w:after="240"/>
        <w:ind w:left="284"/>
        <w:rPr>
          <w:b/>
          <w:i/>
          <w:szCs w:val="24"/>
        </w:rPr>
      </w:pPr>
      <w:r w:rsidRPr="00CB49D2">
        <w:rPr>
          <w:b/>
          <w:i/>
          <w:szCs w:val="24"/>
        </w:rPr>
        <w:t>“Many more clients have these accounts</w:t>
      </w:r>
      <w:r>
        <w:rPr>
          <w:b/>
          <w:i/>
          <w:szCs w:val="24"/>
        </w:rPr>
        <w:t>…</w:t>
      </w:r>
      <w:r w:rsidRPr="00CB49D2">
        <w:rPr>
          <w:b/>
          <w:i/>
          <w:szCs w:val="24"/>
        </w:rPr>
        <w:t xml:space="preserve"> a concerning number of Centrelink income-only clients have 10+ accounts.”</w:t>
      </w:r>
    </w:p>
    <w:p w14:paraId="45A109A3" w14:textId="77777777" w:rsidR="001702AE" w:rsidRPr="00D924C8" w:rsidRDefault="001702AE" w:rsidP="006B54C7">
      <w:pPr>
        <w:pStyle w:val="Heading2"/>
      </w:pPr>
      <w:bookmarkStart w:id="35" w:name="_Toc131232852"/>
      <w:bookmarkStart w:id="36" w:name="_Toc130396320"/>
      <w:r>
        <w:t>3</w:t>
      </w:r>
      <w:r w:rsidRPr="00D924C8">
        <w:t>.</w:t>
      </w:r>
      <w:r>
        <w:t>2</w:t>
      </w:r>
      <w:r w:rsidRPr="00D924C8">
        <w:t xml:space="preserve"> How clients view B</w:t>
      </w:r>
      <w:r>
        <w:t>uy Now Pay Later</w:t>
      </w:r>
      <w:bookmarkEnd w:id="35"/>
      <w:r w:rsidRPr="00D924C8">
        <w:t xml:space="preserve"> </w:t>
      </w:r>
      <w:bookmarkEnd w:id="36"/>
    </w:p>
    <w:p w14:paraId="4DFB9425" w14:textId="77777777" w:rsidR="001702AE" w:rsidRDefault="001702AE" w:rsidP="006B54C7">
      <w:pPr>
        <w:pStyle w:val="Heading3"/>
      </w:pPr>
      <w:bookmarkStart w:id="37" w:name="_Toc131232853"/>
      <w:r>
        <w:t>Many clients don’t recognise Buy Now Pay Later as a type of credit</w:t>
      </w:r>
      <w:bookmarkEnd w:id="37"/>
    </w:p>
    <w:p w14:paraId="476F38CA" w14:textId="77777777" w:rsidR="001702AE" w:rsidRDefault="001702AE" w:rsidP="006B54C7">
      <w:pPr>
        <w:spacing w:after="240"/>
      </w:pPr>
      <w:r w:rsidRPr="002240DA">
        <w:t>Half</w:t>
      </w:r>
      <w:r>
        <w:t xml:space="preserve"> of</w:t>
      </w:r>
      <w:r w:rsidRPr="002240DA">
        <w:t xml:space="preserve"> the </w:t>
      </w:r>
      <w:r>
        <w:t>respondents</w:t>
      </w:r>
      <w:r w:rsidRPr="002240DA">
        <w:t xml:space="preserve"> s</w:t>
      </w:r>
      <w:r>
        <w:t xml:space="preserve">aid </w:t>
      </w:r>
      <w:r w:rsidRPr="002240DA">
        <w:t xml:space="preserve">that only </w:t>
      </w:r>
      <w:r>
        <w:t>‘a</w:t>
      </w:r>
      <w:r w:rsidRPr="002240DA">
        <w:t xml:space="preserve"> few</w:t>
      </w:r>
      <w:r>
        <w:t>’</w:t>
      </w:r>
      <w:r w:rsidRPr="002240DA">
        <w:t xml:space="preserve"> or </w:t>
      </w:r>
      <w:r>
        <w:t>‘n</w:t>
      </w:r>
      <w:r w:rsidRPr="002240DA">
        <w:t>one</w:t>
      </w:r>
      <w:r>
        <w:t>’</w:t>
      </w:r>
      <w:r w:rsidRPr="002240DA">
        <w:t xml:space="preserve"> of their clients with BNPL debts recognise them as a type of credit</w:t>
      </w:r>
      <w:r>
        <w:t>.</w:t>
      </w:r>
    </w:p>
    <w:p w14:paraId="10E28610" w14:textId="77777777" w:rsidR="001702AE" w:rsidRDefault="001702AE" w:rsidP="006B54C7">
      <w:pPr>
        <w:spacing w:after="240"/>
        <w:rPr>
          <w:szCs w:val="24"/>
        </w:rPr>
      </w:pPr>
      <w:r>
        <w:rPr>
          <w:szCs w:val="24"/>
        </w:rPr>
        <w:t>Financial Counsellors told us:</w:t>
      </w:r>
    </w:p>
    <w:p w14:paraId="5D3DBDC5" w14:textId="77777777" w:rsidR="001702AE" w:rsidRPr="000C7C42" w:rsidRDefault="001702AE" w:rsidP="006B54C7">
      <w:pPr>
        <w:spacing w:after="240"/>
        <w:ind w:firstLine="284"/>
        <w:rPr>
          <w:i/>
          <w:szCs w:val="24"/>
        </w:rPr>
      </w:pPr>
      <w:r w:rsidRPr="00876332">
        <w:rPr>
          <w:i/>
          <w:szCs w:val="24"/>
        </w:rPr>
        <w:t>“Some clients don't seem to recognise that [it] is one type [of credit].”</w:t>
      </w:r>
    </w:p>
    <w:p w14:paraId="24A623FB" w14:textId="77777777" w:rsidR="001702AE" w:rsidRPr="000C7C42" w:rsidRDefault="001702AE" w:rsidP="006B54C7">
      <w:pPr>
        <w:spacing w:after="240"/>
        <w:ind w:firstLine="284"/>
        <w:rPr>
          <w:i/>
          <w:szCs w:val="24"/>
        </w:rPr>
      </w:pPr>
      <w:r>
        <w:rPr>
          <w:i/>
          <w:szCs w:val="24"/>
        </w:rPr>
        <w:t>“</w:t>
      </w:r>
      <w:r w:rsidRPr="000C7C42">
        <w:rPr>
          <w:i/>
          <w:szCs w:val="24"/>
        </w:rPr>
        <w:t>Most BNPL users seem to see this as a lay-by that you take home today.</w:t>
      </w:r>
      <w:r>
        <w:rPr>
          <w:i/>
          <w:szCs w:val="24"/>
        </w:rPr>
        <w:t>”</w:t>
      </w:r>
    </w:p>
    <w:p w14:paraId="14BF1FDD" w14:textId="77777777" w:rsidR="001702AE" w:rsidRDefault="001702AE" w:rsidP="006B54C7">
      <w:pPr>
        <w:spacing w:after="360"/>
        <w:ind w:left="284"/>
        <w:rPr>
          <w:rFonts w:asciiTheme="majorHAnsi" w:eastAsiaTheme="majorEastAsia" w:hAnsiTheme="majorHAnsi" w:cstheme="majorBidi"/>
          <w:color w:val="2F5496" w:themeColor="accent1" w:themeShade="BF"/>
          <w:szCs w:val="24"/>
        </w:rPr>
      </w:pPr>
      <w:r>
        <w:rPr>
          <w:i/>
          <w:szCs w:val="24"/>
        </w:rPr>
        <w:t>“</w:t>
      </w:r>
      <w:r w:rsidRPr="000C7C42">
        <w:rPr>
          <w:i/>
          <w:szCs w:val="24"/>
        </w:rPr>
        <w:t>I have had clients present with issues other than BNPL debt and during the course of the session they reveal they have one or more BNPL debt</w:t>
      </w:r>
      <w:r>
        <w:rPr>
          <w:i/>
          <w:szCs w:val="24"/>
        </w:rPr>
        <w:t>s,</w:t>
      </w:r>
      <w:r w:rsidRPr="000C7C42">
        <w:rPr>
          <w:i/>
          <w:szCs w:val="24"/>
        </w:rPr>
        <w:t xml:space="preserve"> or they only reveal it when questioned directly about it.</w:t>
      </w:r>
      <w:r w:rsidRPr="00CB49D2">
        <w:rPr>
          <w:b/>
          <w:i/>
          <w:szCs w:val="24"/>
        </w:rPr>
        <w:t xml:space="preserve"> They say they can manage it. Or it is not a problem or even it is not a debt</w:t>
      </w:r>
      <w:r w:rsidRPr="000C7C42">
        <w:rPr>
          <w:i/>
          <w:szCs w:val="24"/>
        </w:rPr>
        <w:t>.</w:t>
      </w:r>
      <w:r>
        <w:rPr>
          <w:i/>
          <w:szCs w:val="24"/>
        </w:rPr>
        <w:t>”</w:t>
      </w:r>
      <w:r>
        <w:br w:type="page"/>
      </w:r>
    </w:p>
    <w:p w14:paraId="0336264C" w14:textId="77777777" w:rsidR="001702AE" w:rsidRDefault="001702AE" w:rsidP="006B54C7">
      <w:pPr>
        <w:pStyle w:val="Heading3"/>
      </w:pPr>
      <w:bookmarkStart w:id="38" w:name="_Toc131232854"/>
      <w:r>
        <w:lastRenderedPageBreak/>
        <w:t>Some clients like using Buy Now Pay Later and don’t want to stop using it</w:t>
      </w:r>
      <w:bookmarkEnd w:id="38"/>
    </w:p>
    <w:p w14:paraId="4F67F040" w14:textId="77777777" w:rsidR="001702AE" w:rsidRDefault="001702AE" w:rsidP="006B54C7">
      <w:pPr>
        <w:spacing w:after="240"/>
        <w:rPr>
          <w:szCs w:val="24"/>
        </w:rPr>
      </w:pPr>
      <w:r>
        <w:rPr>
          <w:szCs w:val="24"/>
        </w:rPr>
        <w:t>Financial Counsellors told us:</w:t>
      </w:r>
    </w:p>
    <w:p w14:paraId="61789B65" w14:textId="77777777" w:rsidR="001702AE" w:rsidRPr="00CB49D2" w:rsidRDefault="001702AE" w:rsidP="006B54C7">
      <w:pPr>
        <w:spacing w:after="240"/>
        <w:ind w:left="284"/>
        <w:rPr>
          <w:b/>
          <w:i/>
        </w:rPr>
      </w:pPr>
      <w:r w:rsidRPr="00CB49D2">
        <w:rPr>
          <w:b/>
          <w:i/>
        </w:rPr>
        <w:t>“Clients are presenting with issues such as a large power debt and rent arrears but then say they can pay BNPL and don't want to stop paying the BNPL.”</w:t>
      </w:r>
    </w:p>
    <w:p w14:paraId="6AEE61DB" w14:textId="77777777" w:rsidR="001702AE" w:rsidRPr="000C7C42" w:rsidRDefault="001702AE" w:rsidP="006B54C7">
      <w:pPr>
        <w:spacing w:after="360"/>
        <w:ind w:left="284"/>
        <w:rPr>
          <w:i/>
        </w:rPr>
      </w:pPr>
      <w:r>
        <w:rPr>
          <w:i/>
          <w:szCs w:val="24"/>
        </w:rPr>
        <w:t>“</w:t>
      </w:r>
      <w:r w:rsidRPr="000C7C42">
        <w:rPr>
          <w:i/>
          <w:szCs w:val="24"/>
        </w:rPr>
        <w:t xml:space="preserve">… the BNPL user who has accounts that are not actively in use all the time often struggles to see this as a liability (because </w:t>
      </w:r>
      <w:r>
        <w:rPr>
          <w:i/>
          <w:szCs w:val="24"/>
        </w:rPr>
        <w:t xml:space="preserve">‘I </w:t>
      </w:r>
      <w:r w:rsidRPr="000C7C42">
        <w:rPr>
          <w:i/>
          <w:szCs w:val="24"/>
        </w:rPr>
        <w:t>only need it for cashflow’).</w:t>
      </w:r>
      <w:r>
        <w:rPr>
          <w:i/>
          <w:szCs w:val="24"/>
        </w:rPr>
        <w:t>”</w:t>
      </w:r>
    </w:p>
    <w:p w14:paraId="562D0B8A" w14:textId="77777777" w:rsidR="001702AE" w:rsidRDefault="001702AE" w:rsidP="006B54C7">
      <w:pPr>
        <w:pStyle w:val="Heading2"/>
      </w:pPr>
      <w:bookmarkStart w:id="39" w:name="_Toc131232855"/>
      <w:bookmarkStart w:id="40" w:name="_Toc130396321"/>
      <w:r>
        <w:t>3.3 How clients use Buy Now Pay Later</w:t>
      </w:r>
      <w:bookmarkEnd w:id="39"/>
      <w:r>
        <w:t xml:space="preserve"> </w:t>
      </w:r>
      <w:bookmarkEnd w:id="40"/>
    </w:p>
    <w:p w14:paraId="19208613" w14:textId="77777777" w:rsidR="001702AE" w:rsidRDefault="001702AE" w:rsidP="006B54C7">
      <w:pPr>
        <w:pStyle w:val="Heading3"/>
      </w:pPr>
      <w:bookmarkStart w:id="41" w:name="_Toc131232856"/>
      <w:r>
        <w:t>Many clients are using Buy Now Pay Later to buy food and other essentials</w:t>
      </w:r>
      <w:bookmarkEnd w:id="41"/>
      <w:r>
        <w:t xml:space="preserve"> </w:t>
      </w:r>
    </w:p>
    <w:p w14:paraId="0FC451AF" w14:textId="77777777" w:rsidR="001702AE" w:rsidRPr="001F3534" w:rsidRDefault="001702AE" w:rsidP="006B54C7">
      <w:pPr>
        <w:spacing w:after="240"/>
      </w:pPr>
      <w:r w:rsidRPr="001F3534">
        <w:t xml:space="preserve">According to </w:t>
      </w:r>
      <w:r>
        <w:t>respondents</w:t>
      </w:r>
      <w:r w:rsidRPr="001F3534">
        <w:t xml:space="preserve">, the items most commonly purchased </w:t>
      </w:r>
      <w:r>
        <w:t>by clients using</w:t>
      </w:r>
      <w:r w:rsidRPr="001F3534">
        <w:t xml:space="preserve"> BNPL products were: ‘</w:t>
      </w:r>
      <w:r>
        <w:t>f</w:t>
      </w:r>
      <w:r w:rsidRPr="001F3534">
        <w:t>ood and groceries’ (8</w:t>
      </w:r>
      <w:r>
        <w:t xml:space="preserve"> responses</w:t>
      </w:r>
      <w:r w:rsidRPr="001F3534">
        <w:t>), followed by ‘</w:t>
      </w:r>
      <w:r>
        <w:t>c</w:t>
      </w:r>
      <w:r w:rsidRPr="001F3534">
        <w:t>lothing and shoes for children’ (5), ‘</w:t>
      </w:r>
      <w:r>
        <w:t>p</w:t>
      </w:r>
      <w:r w:rsidRPr="001F3534">
        <w:t>et expenses’ (5) and ‘</w:t>
      </w:r>
      <w:r>
        <w:t>c</w:t>
      </w:r>
      <w:r w:rsidRPr="001F3534">
        <w:t>lothing or shoes for adults’ (4).</w:t>
      </w:r>
      <w:r>
        <w:rPr>
          <w:rStyle w:val="FootnoteReference"/>
        </w:rPr>
        <w:footnoteReference w:id="3"/>
      </w:r>
    </w:p>
    <w:p w14:paraId="797E64B0" w14:textId="77777777" w:rsidR="001702AE" w:rsidRDefault="001702AE" w:rsidP="006B54C7">
      <w:pPr>
        <w:spacing w:after="240"/>
        <w:rPr>
          <w:szCs w:val="24"/>
        </w:rPr>
      </w:pPr>
      <w:r>
        <w:rPr>
          <w:szCs w:val="24"/>
        </w:rPr>
        <w:t>Financial Counsellors told us:</w:t>
      </w:r>
    </w:p>
    <w:p w14:paraId="00E9A409" w14:textId="77777777" w:rsidR="001702AE" w:rsidRPr="000C7C42" w:rsidRDefault="001702AE" w:rsidP="006B54C7">
      <w:pPr>
        <w:spacing w:after="240"/>
        <w:ind w:firstLine="284"/>
        <w:rPr>
          <w:rFonts w:cstheme="minorHAnsi"/>
          <w:i/>
          <w:color w:val="212121"/>
          <w:szCs w:val="24"/>
          <w:shd w:val="clear" w:color="auto" w:fill="FFFFFF"/>
        </w:rPr>
      </w:pPr>
      <w:r>
        <w:rPr>
          <w:rFonts w:cstheme="minorHAnsi"/>
          <w:i/>
          <w:color w:val="212121"/>
          <w:szCs w:val="24"/>
          <w:shd w:val="clear" w:color="auto" w:fill="FFFFFF"/>
        </w:rPr>
        <w:t>“</w:t>
      </w:r>
      <w:r w:rsidRPr="000C7C42">
        <w:rPr>
          <w:rFonts w:cstheme="minorHAnsi"/>
          <w:i/>
          <w:color w:val="212121"/>
          <w:szCs w:val="24"/>
          <w:shd w:val="clear" w:color="auto" w:fill="FFFFFF"/>
        </w:rPr>
        <w:t>Using BNPL to purchase gift vouchers and us</w:t>
      </w:r>
      <w:r>
        <w:rPr>
          <w:rFonts w:cstheme="minorHAnsi"/>
          <w:i/>
          <w:color w:val="212121"/>
          <w:szCs w:val="24"/>
          <w:shd w:val="clear" w:color="auto" w:fill="FFFFFF"/>
        </w:rPr>
        <w:t>ing</w:t>
      </w:r>
      <w:r w:rsidRPr="000C7C42">
        <w:rPr>
          <w:rFonts w:cstheme="minorHAnsi"/>
          <w:i/>
          <w:color w:val="212121"/>
          <w:szCs w:val="24"/>
          <w:shd w:val="clear" w:color="auto" w:fill="FFFFFF"/>
        </w:rPr>
        <w:t xml:space="preserve"> those to buy food/petrol.</w:t>
      </w:r>
      <w:r>
        <w:rPr>
          <w:rFonts w:cstheme="minorHAnsi"/>
          <w:i/>
          <w:color w:val="212121"/>
          <w:szCs w:val="24"/>
          <w:shd w:val="clear" w:color="auto" w:fill="FFFFFF"/>
        </w:rPr>
        <w:t>”</w:t>
      </w:r>
    </w:p>
    <w:p w14:paraId="1E46968F" w14:textId="77777777" w:rsidR="001702AE" w:rsidRPr="00CB49D2" w:rsidRDefault="001702AE" w:rsidP="006B54C7">
      <w:pPr>
        <w:spacing w:after="240"/>
        <w:ind w:firstLine="284"/>
        <w:rPr>
          <w:b/>
          <w:i/>
        </w:rPr>
      </w:pPr>
      <w:r w:rsidRPr="00CB49D2">
        <w:rPr>
          <w:b/>
          <w:i/>
        </w:rPr>
        <w:t>“A lot of the clients I have seen are using BNPL for food.”</w:t>
      </w:r>
    </w:p>
    <w:p w14:paraId="150AA2A7" w14:textId="77777777" w:rsidR="001702AE" w:rsidRPr="000C7C42" w:rsidRDefault="001702AE" w:rsidP="006B54C7">
      <w:pPr>
        <w:spacing w:after="240"/>
        <w:ind w:left="284"/>
        <w:rPr>
          <w:i/>
        </w:rPr>
      </w:pPr>
      <w:r>
        <w:rPr>
          <w:i/>
        </w:rPr>
        <w:t>“</w:t>
      </w:r>
      <w:r w:rsidRPr="00CB49D2">
        <w:rPr>
          <w:b/>
          <w:i/>
        </w:rPr>
        <w:t>Increasingly, BNPL is being used to pay for essentials where they can.</w:t>
      </w:r>
      <w:r w:rsidRPr="000C7C42">
        <w:rPr>
          <w:i/>
        </w:rPr>
        <w:t xml:space="preserve"> (Utilities are not usually able to be paid via a BNPL product.) I had a client tell me he can't afford to do a food shop so he gets gift cards and can do a fortnightly shop and pay it back over 4 fortnightly payments.</w:t>
      </w:r>
      <w:r>
        <w:rPr>
          <w:i/>
        </w:rPr>
        <w:t>”</w:t>
      </w:r>
    </w:p>
    <w:p w14:paraId="540E9036" w14:textId="77777777" w:rsidR="001702AE" w:rsidRDefault="001702AE" w:rsidP="006B54C7">
      <w:pPr>
        <w:spacing w:after="240"/>
        <w:ind w:left="284"/>
      </w:pPr>
      <w:r>
        <w:rPr>
          <w:i/>
        </w:rPr>
        <w:t>“</w:t>
      </w:r>
      <w:r w:rsidRPr="000C7C42">
        <w:rPr>
          <w:i/>
        </w:rPr>
        <w:t>When it first started, people were using it for non-essential clothing and furniture but there has been a big shift</w:t>
      </w:r>
      <w:r w:rsidRPr="00290B0B">
        <w:t>.</w:t>
      </w:r>
      <w:r>
        <w:t>”</w:t>
      </w:r>
    </w:p>
    <w:p w14:paraId="4DBF37E7" w14:textId="77777777" w:rsidR="001702AE" w:rsidRDefault="001702AE" w:rsidP="006B54C7">
      <w:pPr>
        <w:pStyle w:val="Heading3"/>
        <w:rPr>
          <w:rFonts w:cstheme="minorHAnsi"/>
          <w:shd w:val="clear" w:color="auto" w:fill="FFFFFF"/>
        </w:rPr>
      </w:pPr>
      <w:bookmarkStart w:id="42" w:name="_Toc131232857"/>
      <w:r w:rsidRPr="00A77D90">
        <w:rPr>
          <w:shd w:val="clear" w:color="auto" w:fill="FFFFFF"/>
        </w:rPr>
        <w:t xml:space="preserve">Some clients are using </w:t>
      </w:r>
      <w:r>
        <w:rPr>
          <w:shd w:val="clear" w:color="auto" w:fill="FFFFFF"/>
        </w:rPr>
        <w:t>Buy Now Pay Later</w:t>
      </w:r>
      <w:r w:rsidRPr="00A77D90">
        <w:rPr>
          <w:shd w:val="clear" w:color="auto" w:fill="FFFFFF"/>
        </w:rPr>
        <w:t xml:space="preserve"> to spend more</w:t>
      </w:r>
      <w:r>
        <w:rPr>
          <w:shd w:val="clear" w:color="auto" w:fill="FFFFFF"/>
        </w:rPr>
        <w:t xml:space="preserve"> than they usually would</w:t>
      </w:r>
      <w:bookmarkEnd w:id="42"/>
      <w:r>
        <w:rPr>
          <w:rFonts w:cstheme="minorHAnsi"/>
          <w:shd w:val="clear" w:color="auto" w:fill="FFFFFF"/>
        </w:rPr>
        <w:t xml:space="preserve"> </w:t>
      </w:r>
    </w:p>
    <w:p w14:paraId="3BD077A1" w14:textId="77777777" w:rsidR="001702AE" w:rsidRPr="00A77D90" w:rsidRDefault="001702AE" w:rsidP="006B54C7">
      <w:pPr>
        <w:spacing w:after="240"/>
      </w:pPr>
      <w:r w:rsidRPr="001F3534">
        <w:rPr>
          <w:rFonts w:cstheme="minorHAnsi"/>
          <w:szCs w:val="24"/>
          <w:shd w:val="clear" w:color="auto" w:fill="FFFFFF"/>
        </w:rPr>
        <w:t>Financial Counsellors told us:</w:t>
      </w:r>
    </w:p>
    <w:p w14:paraId="478A25BE" w14:textId="77777777" w:rsidR="001702AE" w:rsidRPr="000C7C42" w:rsidRDefault="001702AE" w:rsidP="006B54C7">
      <w:pPr>
        <w:spacing w:after="240"/>
        <w:ind w:left="284"/>
        <w:rPr>
          <w:i/>
        </w:rPr>
      </w:pPr>
      <w:r>
        <w:rPr>
          <w:i/>
        </w:rPr>
        <w:t>“</w:t>
      </w:r>
      <w:r w:rsidRPr="000C7C42">
        <w:rPr>
          <w:i/>
        </w:rPr>
        <w:t>The biggest concern with BNPL (and their main selling point to merchants) is that consumers spend more. And the data shows that (particularly millennials and Gen Alpha) exponentially increase their register spend if BNPL is on offer.</w:t>
      </w:r>
      <w:r>
        <w:rPr>
          <w:i/>
        </w:rPr>
        <w:t>”</w:t>
      </w:r>
      <w:r w:rsidRPr="000C7C42">
        <w:rPr>
          <w:i/>
        </w:rPr>
        <w:t xml:space="preserve"> </w:t>
      </w:r>
    </w:p>
    <w:p w14:paraId="19D6C417" w14:textId="77777777" w:rsidR="001702AE" w:rsidRPr="000C7C42" w:rsidRDefault="001702AE" w:rsidP="006B54C7">
      <w:pPr>
        <w:spacing w:after="240"/>
        <w:ind w:left="284"/>
        <w:rPr>
          <w:i/>
        </w:rPr>
      </w:pPr>
      <w:r>
        <w:rPr>
          <w:i/>
        </w:rPr>
        <w:t>“</w:t>
      </w:r>
      <w:r w:rsidRPr="000C7C42">
        <w:rPr>
          <w:i/>
        </w:rPr>
        <w:t xml:space="preserve">Therefore the </w:t>
      </w:r>
      <w:r>
        <w:rPr>
          <w:i/>
        </w:rPr>
        <w:t>‘</w:t>
      </w:r>
      <w:r w:rsidRPr="000C7C42">
        <w:rPr>
          <w:i/>
        </w:rPr>
        <w:t>most common items purchased</w:t>
      </w:r>
      <w:r>
        <w:rPr>
          <w:i/>
        </w:rPr>
        <w:t>’</w:t>
      </w:r>
      <w:r w:rsidRPr="000C7C42">
        <w:rPr>
          <w:i/>
        </w:rPr>
        <w:t xml:space="preserve"> are what the customer was already intending to buy, but a much more expensive version [or] much more than need</w:t>
      </w:r>
      <w:r>
        <w:rPr>
          <w:i/>
        </w:rPr>
        <w:t>ed</w:t>
      </w:r>
      <w:r w:rsidRPr="000C7C42">
        <w:rPr>
          <w:i/>
        </w:rPr>
        <w:t xml:space="preserve"> now.</w:t>
      </w:r>
      <w:r>
        <w:rPr>
          <w:i/>
        </w:rPr>
        <w:t>”</w:t>
      </w:r>
    </w:p>
    <w:p w14:paraId="5F2D6691" w14:textId="77777777" w:rsidR="001702AE" w:rsidRPr="000C7C42" w:rsidRDefault="001702AE" w:rsidP="006B54C7">
      <w:pPr>
        <w:spacing w:after="240"/>
        <w:ind w:left="284"/>
        <w:rPr>
          <w:i/>
        </w:rPr>
      </w:pPr>
      <w:r>
        <w:rPr>
          <w:i/>
        </w:rPr>
        <w:t>“</w:t>
      </w:r>
      <w:r w:rsidRPr="000C7C42">
        <w:rPr>
          <w:i/>
        </w:rPr>
        <w:t>[Clients are] also using [BNPL] to buy Christmas presents, birthday presents and to have a holiday.</w:t>
      </w:r>
      <w:r>
        <w:rPr>
          <w:i/>
        </w:rPr>
        <w:t>”</w:t>
      </w:r>
    </w:p>
    <w:p w14:paraId="6BC4BC10" w14:textId="77777777" w:rsidR="001702AE" w:rsidRDefault="001702AE">
      <w:pPr>
        <w:spacing w:before="0" w:after="0"/>
        <w:rPr>
          <w:rFonts w:ascii="Avenir Next Demi Bold" w:eastAsia="AvenirNextLTPro-Demi" w:hAnsi="Avenir Next Demi Bold" w:cs="AvenirNextLTPro-Demi"/>
          <w:b/>
          <w:color w:val="248EB9"/>
          <w:spacing w:val="-6"/>
          <w:sz w:val="36"/>
          <w:szCs w:val="36"/>
          <w:shd w:val="clear" w:color="auto" w:fill="FFFFFF"/>
        </w:rPr>
      </w:pPr>
      <w:bookmarkStart w:id="43" w:name="_Toc130396322"/>
      <w:r>
        <w:rPr>
          <w:shd w:val="clear" w:color="auto" w:fill="FFFFFF"/>
        </w:rPr>
        <w:br w:type="page"/>
      </w:r>
    </w:p>
    <w:p w14:paraId="756FA786" w14:textId="77777777" w:rsidR="001702AE" w:rsidRDefault="001702AE" w:rsidP="006B54C7">
      <w:pPr>
        <w:pStyle w:val="Heading2"/>
        <w:rPr>
          <w:shd w:val="clear" w:color="auto" w:fill="FFFFFF"/>
        </w:rPr>
      </w:pPr>
      <w:bookmarkStart w:id="44" w:name="_Toc131232858"/>
      <w:r>
        <w:rPr>
          <w:shd w:val="clear" w:color="auto" w:fill="FFFFFF"/>
        </w:rPr>
        <w:lastRenderedPageBreak/>
        <w:t>3.4 Impacts of Buy Now Pay Later on clients</w:t>
      </w:r>
      <w:bookmarkEnd w:id="43"/>
      <w:bookmarkEnd w:id="44"/>
    </w:p>
    <w:p w14:paraId="577AA74E" w14:textId="77777777" w:rsidR="001702AE" w:rsidRPr="00AE1C52" w:rsidRDefault="001702AE" w:rsidP="006B54C7">
      <w:pPr>
        <w:pStyle w:val="Heading3"/>
      </w:pPr>
      <w:bookmarkStart w:id="45" w:name="_Toc131232859"/>
      <w:r w:rsidRPr="00AE1C52">
        <w:t xml:space="preserve">Many clients are struggling to </w:t>
      </w:r>
      <w:r>
        <w:t>repay</w:t>
      </w:r>
      <w:r w:rsidRPr="00AE1C52">
        <w:t xml:space="preserve"> their </w:t>
      </w:r>
      <w:r>
        <w:t>Buy Now Pay Later</w:t>
      </w:r>
      <w:r w:rsidRPr="00AE1C52">
        <w:t xml:space="preserve"> debts</w:t>
      </w:r>
      <w:bookmarkEnd w:id="45"/>
    </w:p>
    <w:p w14:paraId="17713D45" w14:textId="77777777" w:rsidR="001702AE" w:rsidRPr="002240DA" w:rsidRDefault="001702AE" w:rsidP="006B54C7">
      <w:pPr>
        <w:spacing w:after="240"/>
      </w:pPr>
      <w:r w:rsidRPr="002240DA">
        <w:t xml:space="preserve">Half </w:t>
      </w:r>
      <w:r>
        <w:t>the respondents said</w:t>
      </w:r>
      <w:r w:rsidRPr="002240DA">
        <w:t xml:space="preserve"> that </w:t>
      </w:r>
      <w:r>
        <w:t>‘m</w:t>
      </w:r>
      <w:r w:rsidRPr="002240DA">
        <w:t>ost</w:t>
      </w:r>
      <w:r>
        <w:t>’</w:t>
      </w:r>
      <w:r w:rsidRPr="002240DA">
        <w:t xml:space="preserve"> of their clients with </w:t>
      </w:r>
      <w:r>
        <w:t>BNPL debts have cut back or gone without essentials or missed other payments, including rent, in order to service their BNPL debts.</w:t>
      </w:r>
    </w:p>
    <w:p w14:paraId="6E48430D" w14:textId="77777777" w:rsidR="001702AE" w:rsidRDefault="001702AE" w:rsidP="006B54C7">
      <w:pPr>
        <w:spacing w:after="240"/>
        <w:rPr>
          <w:szCs w:val="24"/>
        </w:rPr>
      </w:pPr>
      <w:r>
        <w:rPr>
          <w:szCs w:val="24"/>
        </w:rPr>
        <w:t>Financial Counsellors told us:</w:t>
      </w:r>
    </w:p>
    <w:p w14:paraId="65413265" w14:textId="77777777" w:rsidR="001702AE" w:rsidRPr="000C7C42" w:rsidRDefault="001702AE" w:rsidP="006B54C7">
      <w:pPr>
        <w:spacing w:after="240"/>
        <w:ind w:left="284"/>
        <w:rPr>
          <w:rFonts w:cstheme="minorHAnsi"/>
          <w:i/>
          <w:szCs w:val="24"/>
        </w:rPr>
      </w:pPr>
      <w:r w:rsidRPr="009268C9">
        <w:rPr>
          <w:b/>
          <w:i/>
        </w:rPr>
        <w:t>“The most difficult aspect for debtors to manage the repayment of BNPL is that often they forget that a payment is debited from their account, leaving insufficient funds for essentials.</w:t>
      </w:r>
      <w:r w:rsidRPr="00CB49D2">
        <w:rPr>
          <w:rFonts w:cstheme="minorHAnsi"/>
          <w:b/>
          <w:i/>
          <w:color w:val="212121"/>
          <w:szCs w:val="24"/>
          <w:shd w:val="clear" w:color="auto" w:fill="FFFFFF"/>
        </w:rPr>
        <w:t xml:space="preserve"> </w:t>
      </w:r>
      <w:r w:rsidRPr="009268C9">
        <w:rPr>
          <w:i/>
        </w:rPr>
        <w:t>With an unintended consequence being that I am frequently seeing consumers using further BNPL to purchase gift cards for [supermarkets], to afford food, etc.”</w:t>
      </w:r>
    </w:p>
    <w:p w14:paraId="11374375" w14:textId="77777777" w:rsidR="001702AE" w:rsidRPr="00CB49D2" w:rsidRDefault="001702AE" w:rsidP="006B54C7">
      <w:pPr>
        <w:spacing w:after="240"/>
        <w:ind w:left="284"/>
        <w:rPr>
          <w:b/>
          <w:i/>
        </w:rPr>
      </w:pPr>
      <w:r w:rsidRPr="00CB49D2">
        <w:rPr>
          <w:b/>
          <w:i/>
        </w:rPr>
        <w:t>“Some have gone without essential medication in order to pay the BNPL lenders.”</w:t>
      </w:r>
    </w:p>
    <w:p w14:paraId="10238F29" w14:textId="77777777" w:rsidR="001702AE" w:rsidRPr="000C7C42" w:rsidRDefault="001702AE" w:rsidP="006B54C7">
      <w:pPr>
        <w:spacing w:after="240"/>
        <w:ind w:left="284"/>
        <w:rPr>
          <w:i/>
        </w:rPr>
      </w:pPr>
      <w:r>
        <w:rPr>
          <w:i/>
        </w:rPr>
        <w:t>“</w:t>
      </w:r>
      <w:r w:rsidRPr="000C7C42">
        <w:rPr>
          <w:i/>
        </w:rPr>
        <w:t>Some clients rely on using BNPL, so they see keeping it up to date as more important than utilities or phone [bills].</w:t>
      </w:r>
      <w:r>
        <w:rPr>
          <w:i/>
        </w:rPr>
        <w:t>”</w:t>
      </w:r>
    </w:p>
    <w:p w14:paraId="3F37DF74" w14:textId="77777777" w:rsidR="001702AE" w:rsidRDefault="001702AE" w:rsidP="006B54C7">
      <w:pPr>
        <w:pStyle w:val="Heading3"/>
        <w:rPr>
          <w:shd w:val="clear" w:color="auto" w:fill="FFFFFF"/>
        </w:rPr>
      </w:pPr>
      <w:bookmarkStart w:id="46" w:name="_Toc131232860"/>
      <w:r>
        <w:rPr>
          <w:shd w:val="clear" w:color="auto" w:fill="FFFFFF"/>
        </w:rPr>
        <w:t>Buy Now Pay Later debts are thought to be causing clients the most severe difficulties, compared to other debts</w:t>
      </w:r>
      <w:bookmarkEnd w:id="46"/>
    </w:p>
    <w:p w14:paraId="5D842A86" w14:textId="77777777" w:rsidR="001702AE" w:rsidRPr="001F3534" w:rsidRDefault="001702AE" w:rsidP="006B54C7">
      <w:pPr>
        <w:spacing w:after="240"/>
      </w:pPr>
      <w:r>
        <w:t>BNPL debts were seen as t</w:t>
      </w:r>
      <w:r w:rsidRPr="005F7327">
        <w:t>he type of debt causing clients the most severe difficulties (8 responses), followed by ‘</w:t>
      </w:r>
      <w:r>
        <w:t>p</w:t>
      </w:r>
      <w:r w:rsidRPr="005F7327">
        <w:t>ayday loans’ (6) and ‘</w:t>
      </w:r>
      <w:r>
        <w:t>u</w:t>
      </w:r>
      <w:r w:rsidRPr="005F7327">
        <w:t>tility debts – e.g.</w:t>
      </w:r>
      <w:r>
        <w:t>,</w:t>
      </w:r>
      <w:r w:rsidRPr="005F7327">
        <w:t xml:space="preserve"> gas, water and electricity’ (6).</w:t>
      </w:r>
      <w:r>
        <w:rPr>
          <w:rStyle w:val="FootnoteReference"/>
        </w:rPr>
        <w:footnoteReference w:id="4"/>
      </w:r>
    </w:p>
    <w:p w14:paraId="3260382A" w14:textId="77777777" w:rsidR="001702AE" w:rsidRPr="005F7327" w:rsidRDefault="001702AE" w:rsidP="006B54C7">
      <w:pPr>
        <w:spacing w:after="240"/>
      </w:pPr>
      <w:r w:rsidRPr="005F7327">
        <w:t>Financial Counsellors told us:</w:t>
      </w:r>
    </w:p>
    <w:p w14:paraId="305762CC" w14:textId="77777777" w:rsidR="001702AE" w:rsidRPr="000C7C42" w:rsidRDefault="001702AE" w:rsidP="006B54C7">
      <w:pPr>
        <w:spacing w:after="240"/>
        <w:ind w:left="284"/>
        <w:rPr>
          <w:i/>
        </w:rPr>
      </w:pPr>
      <w:r w:rsidRPr="00D545E1">
        <w:rPr>
          <w:b/>
          <w:i/>
        </w:rPr>
        <w:t>“BNPL causes the most severe difficulties (for the most vulnerable Australians) because: it is so easily accessible (I signed up (unused) to almost $5k in an hour); it is unregulated; and</w:t>
      </w:r>
      <w:r w:rsidRPr="000C7C42">
        <w:rPr>
          <w:i/>
        </w:rPr>
        <w:t xml:space="preserve"> </w:t>
      </w:r>
      <w:r w:rsidRPr="00D545E1">
        <w:rPr>
          <w:b/>
          <w:i/>
        </w:rPr>
        <w:t>it is becoming rare to see a BNPL user with only one manageable account and it is becoming alarmingly frequent [</w:t>
      </w:r>
      <w:r>
        <w:rPr>
          <w:b/>
          <w:i/>
        </w:rPr>
        <w:t>for</w:t>
      </w:r>
      <w:r w:rsidRPr="00D545E1">
        <w:rPr>
          <w:b/>
          <w:i/>
        </w:rPr>
        <w:t>] users</w:t>
      </w:r>
      <w:r>
        <w:rPr>
          <w:b/>
          <w:i/>
        </w:rPr>
        <w:t xml:space="preserve"> [to]</w:t>
      </w:r>
      <w:r w:rsidRPr="00D545E1">
        <w:rPr>
          <w:b/>
          <w:i/>
        </w:rPr>
        <w:t xml:space="preserve"> have multiple accounts (10+).”</w:t>
      </w:r>
    </w:p>
    <w:p w14:paraId="23760726" w14:textId="77777777" w:rsidR="001702AE" w:rsidRPr="00D545E1" w:rsidRDefault="001702AE" w:rsidP="006B54C7">
      <w:pPr>
        <w:spacing w:after="240"/>
        <w:ind w:left="284"/>
        <w:rPr>
          <w:i/>
        </w:rPr>
      </w:pPr>
      <w:r>
        <w:rPr>
          <w:i/>
        </w:rPr>
        <w:t>“</w:t>
      </w:r>
      <w:r w:rsidRPr="00D545E1">
        <w:rPr>
          <w:b/>
          <w:i/>
        </w:rPr>
        <w:t>The BNPL debt is probably causing the most problems, but clients don't see it that way and state the problem is the cost of power or rent or other essential items</w:t>
      </w:r>
      <w:r w:rsidRPr="00D545E1">
        <w:rPr>
          <w:i/>
        </w:rPr>
        <w:t>. If they have other debt, they see their credit card or personal loan as the issue and want that dealt with. They often see things that can't be paid using BNPL as causing their financial difficulty.</w:t>
      </w:r>
      <w:r>
        <w:rPr>
          <w:i/>
        </w:rPr>
        <w:t>”</w:t>
      </w:r>
    </w:p>
    <w:p w14:paraId="01FD0AE2" w14:textId="77777777" w:rsidR="001702AE" w:rsidRPr="005F7327" w:rsidRDefault="001702AE" w:rsidP="006B54C7">
      <w:pPr>
        <w:pStyle w:val="Heading3"/>
        <w:rPr>
          <w:shd w:val="clear" w:color="auto" w:fill="FFFFFF"/>
        </w:rPr>
      </w:pPr>
      <w:bookmarkStart w:id="47" w:name="_Toc131232861"/>
      <w:r>
        <w:rPr>
          <w:shd w:val="clear" w:color="auto" w:fill="FFFFFF"/>
        </w:rPr>
        <w:t>Some clients may have been coerced into Buy Now Pay Later debts by their intimate partners</w:t>
      </w:r>
      <w:bookmarkEnd w:id="47"/>
    </w:p>
    <w:p w14:paraId="63973DEA" w14:textId="77777777" w:rsidR="001702AE" w:rsidRDefault="001702AE" w:rsidP="006B54C7">
      <w:pPr>
        <w:rPr>
          <w:rFonts w:ascii="Calibri" w:eastAsiaTheme="minorHAnsi" w:hAnsi="Calibri" w:cstheme="minorHAnsi"/>
          <w:color w:val="auto"/>
          <w:sz w:val="22"/>
        </w:rPr>
      </w:pPr>
      <w:bookmarkStart w:id="48" w:name="_Hlk130984108"/>
      <w:r>
        <w:rPr>
          <w:rFonts w:cstheme="minorHAnsi"/>
        </w:rPr>
        <w:t>Eighty per cent of</w:t>
      </w:r>
      <w:r w:rsidRPr="002C06C7">
        <w:rPr>
          <w:rFonts w:cstheme="minorHAnsi"/>
        </w:rPr>
        <w:t xml:space="preserve"> </w:t>
      </w:r>
      <w:r>
        <w:rPr>
          <w:rFonts w:cstheme="minorHAnsi"/>
        </w:rPr>
        <w:t>respondents</w:t>
      </w:r>
      <w:r w:rsidRPr="002C06C7">
        <w:rPr>
          <w:rFonts w:cstheme="minorHAnsi"/>
        </w:rPr>
        <w:t xml:space="preserve"> reported they have ‘</w:t>
      </w:r>
      <w:r>
        <w:rPr>
          <w:rFonts w:cstheme="minorHAnsi"/>
        </w:rPr>
        <w:t>s</w:t>
      </w:r>
      <w:r w:rsidRPr="002C06C7">
        <w:rPr>
          <w:rFonts w:cstheme="minorHAnsi"/>
        </w:rPr>
        <w:t>ometimes’</w:t>
      </w:r>
      <w:r>
        <w:rPr>
          <w:rFonts w:cstheme="minorHAnsi"/>
        </w:rPr>
        <w:t xml:space="preserve"> or ‘often’</w:t>
      </w:r>
      <w:r w:rsidRPr="002C06C7">
        <w:rPr>
          <w:rFonts w:cstheme="minorHAnsi"/>
        </w:rPr>
        <w:t xml:space="preserve"> worked with a client who </w:t>
      </w:r>
      <w:r>
        <w:rPr>
          <w:rFonts w:cstheme="minorHAnsi"/>
        </w:rPr>
        <w:t xml:space="preserve">may have been </w:t>
      </w:r>
      <w:r w:rsidRPr="002C06C7">
        <w:rPr>
          <w:rFonts w:cstheme="minorHAnsi"/>
        </w:rPr>
        <w:t>either coerced into taking out a BNPL or a BNPL debt was taken out without their knowledge, by their intimate partner or former intimate partner.</w:t>
      </w:r>
      <w:r>
        <w:rPr>
          <w:rFonts w:cstheme="minorHAnsi"/>
        </w:rPr>
        <w:t xml:space="preserve"> </w:t>
      </w:r>
      <w:bookmarkStart w:id="49" w:name="_Hlk130984093"/>
      <w:bookmarkEnd w:id="48"/>
      <w:r>
        <w:rPr>
          <w:rFonts w:cstheme="minorHAnsi"/>
        </w:rPr>
        <w:t xml:space="preserve">Where </w:t>
      </w:r>
      <w:r w:rsidRPr="006A2E03">
        <w:rPr>
          <w:rFonts w:cstheme="minorHAnsi"/>
          <w:b/>
          <w:color w:val="1598CB"/>
        </w:rPr>
        <w:t>financial abuse</w:t>
      </w:r>
      <w:r>
        <w:rPr>
          <w:rFonts w:cstheme="minorHAnsi"/>
        </w:rPr>
        <w:t xml:space="preserve"> is suspected, Financial Counsellors generally advise clients to contact the Police, who can investigate and may provide reports to support negotiations with credit providers.</w:t>
      </w:r>
    </w:p>
    <w:bookmarkEnd w:id="49"/>
    <w:p w14:paraId="3C2F3498" w14:textId="77777777" w:rsidR="001702AE" w:rsidRPr="002C06C7" w:rsidRDefault="001702AE" w:rsidP="006B54C7">
      <w:pPr>
        <w:spacing w:after="240"/>
        <w:rPr>
          <w:rFonts w:cstheme="minorHAnsi"/>
        </w:rPr>
      </w:pPr>
    </w:p>
    <w:p w14:paraId="7A017BFD" w14:textId="77777777" w:rsidR="001702AE" w:rsidRDefault="001702AE">
      <w:pPr>
        <w:spacing w:before="0" w:after="0"/>
        <w:rPr>
          <w:rFonts w:cstheme="minorHAnsi"/>
        </w:rPr>
      </w:pPr>
      <w:r>
        <w:rPr>
          <w:rFonts w:cstheme="minorHAnsi"/>
        </w:rPr>
        <w:br w:type="page"/>
      </w:r>
    </w:p>
    <w:p w14:paraId="25FE91C5" w14:textId="77777777" w:rsidR="001702AE" w:rsidRPr="00707E2A" w:rsidRDefault="001702AE" w:rsidP="006B54C7">
      <w:pPr>
        <w:pStyle w:val="Heading3"/>
        <w:rPr>
          <w:shd w:val="clear" w:color="auto" w:fill="FFFFFF"/>
        </w:rPr>
      </w:pPr>
      <w:bookmarkStart w:id="50" w:name="_Toc131232862"/>
      <w:r>
        <w:rPr>
          <w:shd w:val="clear" w:color="auto" w:fill="FFFFFF"/>
        </w:rPr>
        <w:lastRenderedPageBreak/>
        <w:t>Hardship policies and practices of Buy Now Pay Later providers are sometimes helpful</w:t>
      </w:r>
      <w:bookmarkEnd w:id="50"/>
    </w:p>
    <w:p w14:paraId="322B0BF5" w14:textId="77777777" w:rsidR="001702AE" w:rsidRPr="000D167E" w:rsidRDefault="001702AE" w:rsidP="006B54C7">
      <w:pPr>
        <w:spacing w:after="240"/>
        <w:rPr>
          <w:rFonts w:cstheme="minorHAnsi"/>
          <w:color w:val="4472C4" w:themeColor="accent1"/>
          <w:szCs w:val="21"/>
          <w:shd w:val="clear" w:color="auto" w:fill="FFFFFF"/>
        </w:rPr>
      </w:pPr>
      <w:r>
        <w:rPr>
          <w:rFonts w:cstheme="minorHAnsi"/>
          <w:szCs w:val="21"/>
          <w:shd w:val="clear" w:color="auto" w:fill="FFFFFF"/>
        </w:rPr>
        <w:t>Eighty per cent of</w:t>
      </w:r>
      <w:r w:rsidRPr="000D167E">
        <w:rPr>
          <w:rFonts w:cstheme="minorHAnsi"/>
          <w:szCs w:val="21"/>
          <w:shd w:val="clear" w:color="auto" w:fill="FFFFFF"/>
        </w:rPr>
        <w:t xml:space="preserve"> </w:t>
      </w:r>
      <w:r>
        <w:rPr>
          <w:rFonts w:cstheme="minorHAnsi"/>
          <w:szCs w:val="21"/>
          <w:shd w:val="clear" w:color="auto" w:fill="FFFFFF"/>
        </w:rPr>
        <w:t>respondents</w:t>
      </w:r>
      <w:r w:rsidRPr="000D167E">
        <w:rPr>
          <w:rFonts w:cstheme="minorHAnsi"/>
          <w:szCs w:val="21"/>
          <w:shd w:val="clear" w:color="auto" w:fill="FFFFFF"/>
        </w:rPr>
        <w:t xml:space="preserve"> reported that hardship policies and practices of BNPL providers were </w:t>
      </w:r>
      <w:r>
        <w:rPr>
          <w:rFonts w:cstheme="minorHAnsi"/>
          <w:szCs w:val="21"/>
          <w:shd w:val="clear" w:color="auto" w:fill="FFFFFF"/>
        </w:rPr>
        <w:t>‘s</w:t>
      </w:r>
      <w:r w:rsidRPr="000D167E">
        <w:rPr>
          <w:rFonts w:cstheme="minorHAnsi"/>
          <w:szCs w:val="21"/>
          <w:shd w:val="clear" w:color="auto" w:fill="FFFFFF"/>
        </w:rPr>
        <w:t>ometimes</w:t>
      </w:r>
      <w:r>
        <w:rPr>
          <w:rFonts w:cstheme="minorHAnsi"/>
          <w:szCs w:val="21"/>
          <w:shd w:val="clear" w:color="auto" w:fill="FFFFFF"/>
        </w:rPr>
        <w:t>’</w:t>
      </w:r>
      <w:r w:rsidRPr="000D167E">
        <w:rPr>
          <w:rFonts w:cstheme="minorHAnsi"/>
          <w:szCs w:val="21"/>
          <w:shd w:val="clear" w:color="auto" w:fill="FFFFFF"/>
        </w:rPr>
        <w:t xml:space="preserve"> or </w:t>
      </w:r>
      <w:r>
        <w:rPr>
          <w:rFonts w:cstheme="minorHAnsi"/>
          <w:szCs w:val="21"/>
          <w:shd w:val="clear" w:color="auto" w:fill="FFFFFF"/>
        </w:rPr>
        <w:t>‘o</w:t>
      </w:r>
      <w:r w:rsidRPr="000D167E">
        <w:rPr>
          <w:rFonts w:cstheme="minorHAnsi"/>
          <w:szCs w:val="21"/>
          <w:shd w:val="clear" w:color="auto" w:fill="FFFFFF"/>
        </w:rPr>
        <w:t>ccasionally</w:t>
      </w:r>
      <w:r>
        <w:rPr>
          <w:rFonts w:cstheme="minorHAnsi"/>
          <w:szCs w:val="21"/>
          <w:shd w:val="clear" w:color="auto" w:fill="FFFFFF"/>
        </w:rPr>
        <w:t>’</w:t>
      </w:r>
      <w:r w:rsidRPr="000D167E">
        <w:rPr>
          <w:rFonts w:cstheme="minorHAnsi"/>
          <w:szCs w:val="21"/>
          <w:shd w:val="clear" w:color="auto" w:fill="FFFFFF"/>
        </w:rPr>
        <w:t xml:space="preserve"> helpful</w:t>
      </w:r>
      <w:r>
        <w:rPr>
          <w:rFonts w:cstheme="minorHAnsi"/>
          <w:szCs w:val="21"/>
          <w:shd w:val="clear" w:color="auto" w:fill="FFFFFF"/>
        </w:rPr>
        <w:t>,</w:t>
      </w:r>
      <w:r w:rsidRPr="000D167E">
        <w:rPr>
          <w:rFonts w:cstheme="minorHAnsi"/>
          <w:szCs w:val="21"/>
          <w:shd w:val="clear" w:color="auto" w:fill="FFFFFF"/>
        </w:rPr>
        <w:t xml:space="preserve"> overall. Only </w:t>
      </w:r>
      <w:r>
        <w:rPr>
          <w:rFonts w:cstheme="minorHAnsi"/>
          <w:szCs w:val="21"/>
          <w:shd w:val="clear" w:color="auto" w:fill="FFFFFF"/>
        </w:rPr>
        <w:t>a fifth of</w:t>
      </w:r>
      <w:r w:rsidRPr="000D167E">
        <w:rPr>
          <w:rFonts w:cstheme="minorHAnsi"/>
          <w:szCs w:val="21"/>
          <w:shd w:val="clear" w:color="auto" w:fill="FFFFFF"/>
        </w:rPr>
        <w:t xml:space="preserve"> Financial Counsellors reported that hardship policies and practices of BNPL providers were </w:t>
      </w:r>
      <w:r>
        <w:rPr>
          <w:rFonts w:cstheme="minorHAnsi"/>
          <w:szCs w:val="21"/>
          <w:shd w:val="clear" w:color="auto" w:fill="FFFFFF"/>
        </w:rPr>
        <w:t>‘m</w:t>
      </w:r>
      <w:r w:rsidRPr="000D167E">
        <w:rPr>
          <w:rFonts w:cstheme="minorHAnsi"/>
          <w:szCs w:val="21"/>
          <w:shd w:val="clear" w:color="auto" w:fill="FFFFFF"/>
        </w:rPr>
        <w:t>ostly</w:t>
      </w:r>
      <w:r>
        <w:rPr>
          <w:rFonts w:cstheme="minorHAnsi"/>
          <w:szCs w:val="21"/>
          <w:shd w:val="clear" w:color="auto" w:fill="FFFFFF"/>
        </w:rPr>
        <w:t>’</w:t>
      </w:r>
      <w:r w:rsidRPr="000D167E">
        <w:rPr>
          <w:rFonts w:cstheme="minorHAnsi"/>
          <w:szCs w:val="21"/>
          <w:shd w:val="clear" w:color="auto" w:fill="FFFFFF"/>
        </w:rPr>
        <w:t xml:space="preserve"> helpful.</w:t>
      </w:r>
    </w:p>
    <w:p w14:paraId="3876843B" w14:textId="77777777" w:rsidR="001702AE" w:rsidRPr="005F7327" w:rsidRDefault="001702AE" w:rsidP="006B54C7">
      <w:pPr>
        <w:spacing w:after="240"/>
        <w:rPr>
          <w:rFonts w:cstheme="minorHAnsi"/>
          <w:szCs w:val="21"/>
          <w:shd w:val="clear" w:color="auto" w:fill="FFFFFF"/>
        </w:rPr>
      </w:pPr>
      <w:r w:rsidRPr="005F7327">
        <w:rPr>
          <w:rFonts w:cstheme="minorHAnsi"/>
          <w:szCs w:val="21"/>
          <w:shd w:val="clear" w:color="auto" w:fill="FFFFFF"/>
        </w:rPr>
        <w:t>A Financial Counsellor told us:</w:t>
      </w:r>
    </w:p>
    <w:p w14:paraId="35BB9730" w14:textId="77777777" w:rsidR="001702AE" w:rsidRPr="00D545E1" w:rsidRDefault="001702AE" w:rsidP="006B54C7">
      <w:pPr>
        <w:spacing w:after="240"/>
        <w:ind w:left="284"/>
        <w:rPr>
          <w:rFonts w:cstheme="minorHAnsi"/>
          <w:i/>
          <w:szCs w:val="24"/>
          <w:shd w:val="clear" w:color="auto" w:fill="FFFFFF"/>
        </w:rPr>
      </w:pPr>
      <w:r w:rsidRPr="00D545E1">
        <w:rPr>
          <w:rFonts w:cstheme="minorHAnsi"/>
          <w:i/>
          <w:szCs w:val="24"/>
          <w:shd w:val="clear" w:color="auto" w:fill="FFFFFF"/>
        </w:rPr>
        <w:t>“</w:t>
      </w:r>
      <w:r w:rsidRPr="00CB49D2">
        <w:rPr>
          <w:rFonts w:cstheme="minorHAnsi"/>
          <w:b/>
          <w:i/>
          <w:szCs w:val="24"/>
          <w:shd w:val="clear" w:color="auto" w:fill="FFFFFF"/>
        </w:rPr>
        <w:t>The practices vary from company to company.</w:t>
      </w:r>
      <w:r w:rsidRPr="00D545E1">
        <w:rPr>
          <w:rFonts w:cstheme="minorHAnsi"/>
          <w:i/>
          <w:szCs w:val="24"/>
          <w:shd w:val="clear" w:color="auto" w:fill="FFFFFF"/>
        </w:rPr>
        <w:t xml:space="preserve"> I have been able to obtain an arrangement of 6 months with no payment or charges and reduced payments until the loan has been paid in full. … I am currently </w:t>
      </w:r>
      <w:r>
        <w:rPr>
          <w:rFonts w:cstheme="minorHAnsi"/>
          <w:i/>
          <w:szCs w:val="24"/>
          <w:shd w:val="clear" w:color="auto" w:fill="FFFFFF"/>
        </w:rPr>
        <w:t xml:space="preserve">[working with </w:t>
      </w:r>
      <w:r w:rsidRPr="00D545E1">
        <w:rPr>
          <w:rFonts w:cstheme="minorHAnsi"/>
          <w:i/>
          <w:szCs w:val="24"/>
          <w:shd w:val="clear" w:color="auto" w:fill="FFFFFF"/>
        </w:rPr>
        <w:t>another] creditor as they agreed to a hardship arrangement then said they had cancelled it due to not receiving documents they requested. There was never any request for those documents. They have been overdrawing the client’s bank account and not leaving money for him to pay other creditors.”</w:t>
      </w:r>
    </w:p>
    <w:p w14:paraId="78A3D869" w14:textId="77777777" w:rsidR="001702AE" w:rsidRPr="005F7327" w:rsidRDefault="001702AE" w:rsidP="006B54C7">
      <w:pPr>
        <w:pStyle w:val="Heading3"/>
      </w:pPr>
      <w:bookmarkStart w:id="51" w:name="_Toc131232863"/>
      <w:r w:rsidRPr="005F7327">
        <w:t xml:space="preserve">Clients are sometimes benefiting from using </w:t>
      </w:r>
      <w:r>
        <w:t>Buy Now Pay Later</w:t>
      </w:r>
      <w:bookmarkEnd w:id="51"/>
    </w:p>
    <w:p w14:paraId="40B23B64" w14:textId="77777777" w:rsidR="001702AE" w:rsidRDefault="001702AE" w:rsidP="006B54C7">
      <w:pPr>
        <w:spacing w:after="240"/>
      </w:pPr>
      <w:r>
        <w:t>Eighty per cent of</w:t>
      </w:r>
      <w:r w:rsidRPr="00EB7C54">
        <w:t xml:space="preserve"> </w:t>
      </w:r>
      <w:r>
        <w:t xml:space="preserve">respondents </w:t>
      </w:r>
      <w:r w:rsidRPr="00EB7C54">
        <w:t xml:space="preserve">said they </w:t>
      </w:r>
      <w:r>
        <w:t xml:space="preserve">have </w:t>
      </w:r>
      <w:r w:rsidRPr="00EB7C54">
        <w:t>‘</w:t>
      </w:r>
      <w:r>
        <w:t>s</w:t>
      </w:r>
      <w:r w:rsidRPr="00EB7C54">
        <w:t>ometimes’ or ‘</w:t>
      </w:r>
      <w:r>
        <w:t>o</w:t>
      </w:r>
      <w:r w:rsidRPr="00EB7C54">
        <w:t xml:space="preserve">ccasionally’ seen clients </w:t>
      </w:r>
      <w:r>
        <w:t>who benefit from using</w:t>
      </w:r>
      <w:r w:rsidRPr="00EB7C54">
        <w:t xml:space="preserve"> BNPL products</w:t>
      </w:r>
      <w:r>
        <w:t xml:space="preserve">. </w:t>
      </w:r>
      <w:r w:rsidRPr="00EB7C54">
        <w:t>No</w:t>
      </w:r>
      <w:r>
        <w:t>ne of the</w:t>
      </w:r>
      <w:r w:rsidRPr="00EB7C54">
        <w:t xml:space="preserve"> Financial Counsellors said they had seen </w:t>
      </w:r>
      <w:r>
        <w:t>this</w:t>
      </w:r>
      <w:r w:rsidRPr="00EB7C54">
        <w:t xml:space="preserve"> ‘</w:t>
      </w:r>
      <w:r>
        <w:t>m</w:t>
      </w:r>
      <w:r w:rsidRPr="00EB7C54">
        <w:t>ost of the time’ or ‘</w:t>
      </w:r>
      <w:r>
        <w:t>a</w:t>
      </w:r>
      <w:r w:rsidRPr="00EB7C54">
        <w:t>ll the time’.</w:t>
      </w:r>
    </w:p>
    <w:p w14:paraId="109D3FED" w14:textId="77777777" w:rsidR="001702AE" w:rsidRPr="005F7327" w:rsidRDefault="001702AE" w:rsidP="006B54C7">
      <w:pPr>
        <w:spacing w:after="240"/>
      </w:pPr>
      <w:r w:rsidRPr="005F7327">
        <w:t>Financial Counsellors told us:</w:t>
      </w:r>
    </w:p>
    <w:p w14:paraId="7BAA1D58" w14:textId="77777777" w:rsidR="001702AE" w:rsidRPr="00D545E1" w:rsidRDefault="001702AE" w:rsidP="006B54C7">
      <w:pPr>
        <w:spacing w:after="240"/>
        <w:ind w:left="284"/>
        <w:rPr>
          <w:i/>
        </w:rPr>
      </w:pPr>
      <w:r w:rsidRPr="00CB49D2">
        <w:rPr>
          <w:i/>
        </w:rPr>
        <w:t>“This … only works if the user has the capacity to stick to their known credit limit.</w:t>
      </w:r>
      <w:r w:rsidRPr="00D545E1">
        <w:rPr>
          <w:i/>
        </w:rPr>
        <w:t xml:space="preserve"> (Which is often a lot less than what their BNPL providers have approved them for.)</w:t>
      </w:r>
      <w:r>
        <w:rPr>
          <w:i/>
        </w:rPr>
        <w:t>”</w:t>
      </w:r>
    </w:p>
    <w:p w14:paraId="4834A64A" w14:textId="77777777" w:rsidR="001702AE" w:rsidRPr="00D545E1" w:rsidRDefault="001702AE" w:rsidP="006B54C7">
      <w:pPr>
        <w:spacing w:after="240"/>
        <w:ind w:left="284"/>
        <w:rPr>
          <w:i/>
        </w:rPr>
      </w:pPr>
      <w:r>
        <w:rPr>
          <w:i/>
        </w:rPr>
        <w:t>“</w:t>
      </w:r>
      <w:r w:rsidRPr="00D545E1">
        <w:rPr>
          <w:i/>
        </w:rPr>
        <w:t>As always</w:t>
      </w:r>
      <w:r>
        <w:rPr>
          <w:i/>
        </w:rPr>
        <w:t>,</w:t>
      </w:r>
      <w:r w:rsidRPr="00D545E1">
        <w:rPr>
          <w:i/>
        </w:rPr>
        <w:t xml:space="preserve"> there are those users who know their affordable spend limit and are able to stick to it.</w:t>
      </w:r>
      <w:r>
        <w:rPr>
          <w:i/>
        </w:rPr>
        <w:t>”</w:t>
      </w:r>
    </w:p>
    <w:p w14:paraId="26DC3F53" w14:textId="77777777" w:rsidR="001702AE" w:rsidRPr="00CB49D2" w:rsidRDefault="001702AE" w:rsidP="006B54C7">
      <w:pPr>
        <w:spacing w:after="240"/>
        <w:ind w:left="284"/>
        <w:rPr>
          <w:b/>
          <w:i/>
        </w:rPr>
      </w:pPr>
      <w:r w:rsidRPr="00CB49D2">
        <w:rPr>
          <w:b/>
          <w:i/>
        </w:rPr>
        <w:t>“I think the issue is we only see those who are struggling and have reached a point that they cannot cope anymore. By that stage, they have taken out various credit options including BNPL</w:t>
      </w:r>
      <w:r>
        <w:rPr>
          <w:b/>
          <w:i/>
        </w:rPr>
        <w:t>,</w:t>
      </w:r>
      <w:r w:rsidRPr="00CB49D2">
        <w:rPr>
          <w:b/>
          <w:i/>
        </w:rPr>
        <w:t xml:space="preserve"> so they are not gaining any benefits.”</w:t>
      </w:r>
    </w:p>
    <w:p w14:paraId="6A760FD8" w14:textId="77777777" w:rsidR="001702AE" w:rsidRPr="00D545E1" w:rsidRDefault="001702AE" w:rsidP="006B54C7">
      <w:pPr>
        <w:spacing w:after="240"/>
        <w:ind w:left="284"/>
        <w:rPr>
          <w:i/>
        </w:rPr>
      </w:pPr>
      <w:r>
        <w:rPr>
          <w:i/>
        </w:rPr>
        <w:t>“</w:t>
      </w:r>
      <w:r w:rsidRPr="00D545E1">
        <w:rPr>
          <w:i/>
        </w:rPr>
        <w:t>Mostly it helps the client in the short-term but gives long-term financial pain.</w:t>
      </w:r>
      <w:r>
        <w:rPr>
          <w:i/>
        </w:rPr>
        <w:t>”</w:t>
      </w:r>
    </w:p>
    <w:p w14:paraId="4E4AB041" w14:textId="77777777" w:rsidR="001702AE" w:rsidRDefault="001702AE" w:rsidP="006B54C7">
      <w:pPr>
        <w:pStyle w:val="Heading2"/>
        <w:rPr>
          <w:lang w:eastAsia="en-AU"/>
        </w:rPr>
      </w:pPr>
      <w:bookmarkStart w:id="52" w:name="_Toc130396323"/>
      <w:bookmarkStart w:id="53" w:name="_Toc131232864"/>
      <w:r>
        <w:rPr>
          <w:lang w:eastAsia="en-AU"/>
        </w:rPr>
        <w:t>3.5 Buy Now Pay Later and the need for better regulation</w:t>
      </w:r>
      <w:bookmarkEnd w:id="52"/>
      <w:bookmarkEnd w:id="53"/>
    </w:p>
    <w:p w14:paraId="22587ED6" w14:textId="77777777" w:rsidR="001702AE" w:rsidRPr="00AE1C52" w:rsidRDefault="001702AE" w:rsidP="006B54C7">
      <w:pPr>
        <w:pStyle w:val="Heading3"/>
        <w:rPr>
          <w:lang w:eastAsia="en-AU"/>
        </w:rPr>
      </w:pPr>
      <w:bookmarkStart w:id="54" w:name="_Toc131232865"/>
      <w:r>
        <w:rPr>
          <w:lang w:eastAsia="en-AU"/>
        </w:rPr>
        <w:t>Financial Counsellors think Buy Now Pay Later should be better regulated</w:t>
      </w:r>
      <w:bookmarkEnd w:id="54"/>
      <w:r>
        <w:rPr>
          <w:lang w:eastAsia="en-AU"/>
        </w:rPr>
        <w:t xml:space="preserve"> </w:t>
      </w:r>
    </w:p>
    <w:p w14:paraId="3806ADB0" w14:textId="77777777" w:rsidR="001702AE" w:rsidRDefault="001702AE" w:rsidP="006B54C7">
      <w:pPr>
        <w:spacing w:after="240"/>
        <w:rPr>
          <w:rFonts w:cstheme="minorHAnsi"/>
        </w:rPr>
      </w:pPr>
      <w:r w:rsidRPr="0096486E">
        <w:rPr>
          <w:rFonts w:cstheme="minorHAnsi"/>
        </w:rPr>
        <w:t xml:space="preserve">All </w:t>
      </w:r>
      <w:r>
        <w:rPr>
          <w:rFonts w:cstheme="minorHAnsi"/>
        </w:rPr>
        <w:t>respondents</w:t>
      </w:r>
      <w:r w:rsidRPr="0096486E">
        <w:rPr>
          <w:rFonts w:cstheme="minorHAnsi"/>
        </w:rPr>
        <w:t xml:space="preserve"> agreed that BNPL</w:t>
      </w:r>
      <w:r>
        <w:rPr>
          <w:rFonts w:cstheme="minorHAnsi"/>
        </w:rPr>
        <w:t xml:space="preserve"> products</w:t>
      </w:r>
      <w:r w:rsidRPr="0096486E">
        <w:rPr>
          <w:rFonts w:cstheme="minorHAnsi"/>
        </w:rPr>
        <w:t xml:space="preserve"> need to be better regulated in Australia.</w:t>
      </w:r>
      <w:r>
        <w:rPr>
          <w:rFonts w:cstheme="minorHAnsi"/>
        </w:rPr>
        <w:t xml:space="preserve"> Eighty per cent of</w:t>
      </w:r>
      <w:r w:rsidRPr="00DA67EB">
        <w:rPr>
          <w:rFonts w:cstheme="minorHAnsi"/>
        </w:rPr>
        <w:t xml:space="preserve"> </w:t>
      </w:r>
      <w:r>
        <w:rPr>
          <w:rFonts w:cstheme="minorHAnsi"/>
        </w:rPr>
        <w:t xml:space="preserve">respondents </w:t>
      </w:r>
      <w:r w:rsidRPr="00DA67EB">
        <w:rPr>
          <w:rFonts w:cstheme="minorHAnsi"/>
        </w:rPr>
        <w:t xml:space="preserve">said that BNPL products should be regulated to a </w:t>
      </w:r>
      <w:r>
        <w:rPr>
          <w:rFonts w:cstheme="minorHAnsi"/>
        </w:rPr>
        <w:t>‘h</w:t>
      </w:r>
      <w:r w:rsidRPr="00DA67EB">
        <w:rPr>
          <w:rFonts w:cstheme="minorHAnsi"/>
        </w:rPr>
        <w:t>igh level</w:t>
      </w:r>
      <w:r>
        <w:rPr>
          <w:rFonts w:cstheme="minorHAnsi"/>
        </w:rPr>
        <w:t>’</w:t>
      </w:r>
      <w:r w:rsidRPr="00DA67EB">
        <w:rPr>
          <w:rFonts w:cstheme="minorHAnsi"/>
        </w:rPr>
        <w:t xml:space="preserve">, involving regulation under the </w:t>
      </w:r>
      <w:r w:rsidRPr="00A417AD">
        <w:rPr>
          <w:rFonts w:cstheme="minorHAnsi"/>
          <w:i/>
        </w:rPr>
        <w:t xml:space="preserve">National Consumer Credit Protection Act 2009 </w:t>
      </w:r>
      <w:r>
        <w:rPr>
          <w:rFonts w:cstheme="minorHAnsi"/>
        </w:rPr>
        <w:t>(the ‘Credit Act’)</w:t>
      </w:r>
      <w:r w:rsidRPr="00A417AD">
        <w:rPr>
          <w:rFonts w:cstheme="minorHAnsi"/>
        </w:rPr>
        <w:t>.</w:t>
      </w:r>
      <w:r w:rsidRPr="00DA67EB">
        <w:rPr>
          <w:rFonts w:cstheme="minorHAnsi"/>
        </w:rPr>
        <w:t xml:space="preserve"> The remaining two respondents opted for</w:t>
      </w:r>
      <w:r>
        <w:rPr>
          <w:rFonts w:cstheme="minorHAnsi"/>
        </w:rPr>
        <w:t xml:space="preserve"> a ‘m</w:t>
      </w:r>
      <w:r w:rsidRPr="00DA67EB">
        <w:rPr>
          <w:rFonts w:cstheme="minorHAnsi"/>
        </w:rPr>
        <w:t xml:space="preserve">oderate </w:t>
      </w:r>
      <w:r>
        <w:rPr>
          <w:rFonts w:cstheme="minorHAnsi"/>
        </w:rPr>
        <w:t>level</w:t>
      </w:r>
      <w:r w:rsidRPr="00DA67EB">
        <w:rPr>
          <w:rFonts w:cstheme="minorHAnsi"/>
        </w:rPr>
        <w:t xml:space="preserve"> – </w:t>
      </w:r>
      <w:r>
        <w:rPr>
          <w:rFonts w:cstheme="minorHAnsi"/>
        </w:rPr>
        <w:t>p</w:t>
      </w:r>
      <w:r w:rsidRPr="00DA67EB">
        <w:rPr>
          <w:rFonts w:cstheme="minorHAnsi"/>
        </w:rPr>
        <w:t xml:space="preserve">artial regulation under the </w:t>
      </w:r>
      <w:r w:rsidRPr="00A417AD">
        <w:rPr>
          <w:rFonts w:cstheme="minorHAnsi"/>
        </w:rPr>
        <w:t>Credit Act’.</w:t>
      </w:r>
    </w:p>
    <w:p w14:paraId="7341F986" w14:textId="77777777" w:rsidR="001702AE" w:rsidRPr="005F7327" w:rsidRDefault="001702AE" w:rsidP="006B54C7">
      <w:r w:rsidRPr="005F7327">
        <w:t>Financial Counsellors told us:</w:t>
      </w:r>
    </w:p>
    <w:p w14:paraId="450E798C" w14:textId="77777777" w:rsidR="001702AE" w:rsidRPr="00D545E1" w:rsidRDefault="001702AE" w:rsidP="006B54C7">
      <w:pPr>
        <w:spacing w:after="240"/>
        <w:ind w:left="284"/>
        <w:rPr>
          <w:rFonts w:cstheme="minorHAnsi"/>
          <w:i/>
        </w:rPr>
      </w:pPr>
      <w:r>
        <w:rPr>
          <w:rFonts w:cstheme="minorHAnsi"/>
          <w:i/>
        </w:rPr>
        <w:t>“</w:t>
      </w:r>
      <w:r w:rsidRPr="00D545E1">
        <w:rPr>
          <w:rFonts w:cstheme="minorHAnsi"/>
          <w:b/>
          <w:i/>
        </w:rPr>
        <w:t>Many vulnerable Australians rely on BNPL to manage crises</w:t>
      </w:r>
      <w:r w:rsidRPr="00D545E1">
        <w:rPr>
          <w:rFonts w:cstheme="minorHAnsi"/>
          <w:i/>
        </w:rPr>
        <w:t xml:space="preserve">. BNPL should have initially been </w:t>
      </w:r>
      <w:r>
        <w:rPr>
          <w:rFonts w:cstheme="minorHAnsi"/>
          <w:i/>
        </w:rPr>
        <w:t>‘</w:t>
      </w:r>
      <w:r w:rsidRPr="00D545E1">
        <w:rPr>
          <w:rFonts w:cstheme="minorHAnsi"/>
          <w:i/>
        </w:rPr>
        <w:t>High – Regulation under the Credit Act like other credit products</w:t>
      </w:r>
      <w:r>
        <w:rPr>
          <w:rFonts w:cstheme="minorHAnsi"/>
          <w:i/>
        </w:rPr>
        <w:t>’</w:t>
      </w:r>
      <w:r w:rsidRPr="00D545E1">
        <w:rPr>
          <w:rFonts w:cstheme="minorHAnsi"/>
          <w:i/>
        </w:rPr>
        <w:t>, to prevent the tsunami of financial hardship that [is in] the current market.</w:t>
      </w:r>
      <w:r>
        <w:rPr>
          <w:rFonts w:cstheme="minorHAnsi"/>
          <w:i/>
        </w:rPr>
        <w:t>”</w:t>
      </w:r>
    </w:p>
    <w:p w14:paraId="5759D10A" w14:textId="77777777" w:rsidR="001702AE" w:rsidRDefault="001702AE">
      <w:pPr>
        <w:spacing w:before="0" w:after="0"/>
        <w:rPr>
          <w:rFonts w:cstheme="minorHAnsi"/>
          <w:i/>
        </w:rPr>
      </w:pPr>
      <w:r>
        <w:rPr>
          <w:rFonts w:cstheme="minorHAnsi"/>
          <w:i/>
        </w:rPr>
        <w:br w:type="page"/>
      </w:r>
    </w:p>
    <w:p w14:paraId="2BB55D07" w14:textId="77777777" w:rsidR="001702AE" w:rsidRPr="00D545E1" w:rsidRDefault="001702AE" w:rsidP="006B54C7">
      <w:pPr>
        <w:spacing w:after="240"/>
        <w:ind w:left="284"/>
        <w:rPr>
          <w:rFonts w:cstheme="minorHAnsi"/>
          <w:i/>
        </w:rPr>
      </w:pPr>
      <w:r>
        <w:rPr>
          <w:rFonts w:cstheme="minorHAnsi"/>
          <w:i/>
        </w:rPr>
        <w:lastRenderedPageBreak/>
        <w:t>“</w:t>
      </w:r>
      <w:r w:rsidRPr="00D545E1">
        <w:rPr>
          <w:rFonts w:cstheme="minorHAnsi"/>
          <w:i/>
        </w:rPr>
        <w:t>It has been shown through payday lending that low regulation does not stop people getting into trouble with credit. Several amendments to the credit law have yet to rein in bad practice and clients don't check to see if a creditor complies with regulations. They don't even look at what fees, charges or interest is attached to the loan. They just want money when they are desperate and will go to the first lender that will lend to them.</w:t>
      </w:r>
      <w:r>
        <w:rPr>
          <w:rFonts w:cstheme="minorHAnsi"/>
          <w:i/>
        </w:rPr>
        <w:t>”</w:t>
      </w:r>
      <w:r w:rsidRPr="00D545E1">
        <w:rPr>
          <w:rFonts w:cstheme="minorHAnsi"/>
          <w:i/>
        </w:rPr>
        <w:t xml:space="preserve"> </w:t>
      </w:r>
    </w:p>
    <w:p w14:paraId="67BE9AB3" w14:textId="77777777" w:rsidR="001702AE" w:rsidRPr="003846E7" w:rsidRDefault="001702AE" w:rsidP="006B54C7">
      <w:pPr>
        <w:spacing w:after="240"/>
        <w:ind w:left="284"/>
        <w:rPr>
          <w:b/>
          <w:i/>
        </w:rPr>
      </w:pPr>
      <w:r w:rsidRPr="003846E7">
        <w:rPr>
          <w:b/>
          <w:i/>
          <w:shd w:val="clear" w:color="auto" w:fill="FFFFFF"/>
        </w:rPr>
        <w:t>“No one could have predicted the perfect storm that would allow BNPL to take hold as it has in Australia. It appeals to the most vulnerable in society and is often their only option for credit</w:t>
      </w:r>
      <w:r>
        <w:rPr>
          <w:b/>
          <w:i/>
          <w:shd w:val="clear" w:color="auto" w:fill="FFFFFF"/>
        </w:rPr>
        <w:t xml:space="preserve"> …</w:t>
      </w:r>
      <w:r w:rsidRPr="003846E7">
        <w:rPr>
          <w:b/>
          <w:i/>
          <w:shd w:val="clear" w:color="auto" w:fill="FFFFFF"/>
        </w:rPr>
        <w:t xml:space="preserve"> And if it</w:t>
      </w:r>
      <w:r>
        <w:rPr>
          <w:b/>
          <w:i/>
          <w:shd w:val="clear" w:color="auto" w:fill="FFFFFF"/>
        </w:rPr>
        <w:t>’</w:t>
      </w:r>
      <w:r w:rsidRPr="003846E7">
        <w:rPr>
          <w:b/>
          <w:i/>
          <w:shd w:val="clear" w:color="auto" w:fill="FFFFFF"/>
        </w:rPr>
        <w:t>s credit, then it needs to be a regulated product.”</w:t>
      </w:r>
    </w:p>
    <w:p w14:paraId="1641B7F8" w14:textId="77777777" w:rsidR="001702AE" w:rsidRPr="00D545E1" w:rsidRDefault="001702AE" w:rsidP="006B54C7">
      <w:pPr>
        <w:spacing w:after="240"/>
        <w:ind w:left="284"/>
        <w:rPr>
          <w:rFonts w:cstheme="minorHAnsi"/>
          <w:i/>
        </w:rPr>
      </w:pPr>
      <w:r>
        <w:rPr>
          <w:rFonts w:cstheme="minorHAnsi"/>
          <w:i/>
        </w:rPr>
        <w:t>“</w:t>
      </w:r>
      <w:r w:rsidRPr="00D545E1">
        <w:rPr>
          <w:rFonts w:cstheme="minorHAnsi"/>
          <w:i/>
        </w:rPr>
        <w:t>I think this needs to be handled moderately as there are people that can use BNPL very well and not cause financial harm but [it] needs to have a few checks and balances...</w:t>
      </w:r>
      <w:r>
        <w:rPr>
          <w:rFonts w:cstheme="minorHAnsi"/>
          <w:i/>
        </w:rPr>
        <w:t>”</w:t>
      </w:r>
    </w:p>
    <w:p w14:paraId="723B70FE" w14:textId="77777777" w:rsidR="001702AE" w:rsidRPr="00D545E1" w:rsidRDefault="001702AE" w:rsidP="006B54C7">
      <w:pPr>
        <w:spacing w:after="0"/>
        <w:ind w:left="284"/>
        <w:rPr>
          <w:rFonts w:cstheme="minorHAnsi"/>
          <w:i/>
          <w:color w:val="212121"/>
          <w:szCs w:val="24"/>
          <w:shd w:val="clear" w:color="auto" w:fill="FFFFFF"/>
        </w:rPr>
      </w:pPr>
    </w:p>
    <w:p w14:paraId="6D6AC08C" w14:textId="77777777" w:rsidR="001702AE" w:rsidRDefault="001702AE">
      <w:pPr>
        <w:spacing w:before="0" w:after="0"/>
        <w:rPr>
          <w:rFonts w:ascii="Avenir Next Demi Bold" w:eastAsia="AvenirNextLTPro-Demi" w:hAnsi="Avenir Next Demi Bold" w:cs="AvenirNextLTPro-Demi"/>
          <w:b/>
          <w:bCs/>
          <w:color w:val="1598CB"/>
          <w:sz w:val="48"/>
          <w:szCs w:val="48"/>
        </w:rPr>
      </w:pPr>
      <w:bookmarkStart w:id="55" w:name="_Toc130396325"/>
      <w:r>
        <w:br w:type="page"/>
      </w:r>
    </w:p>
    <w:p w14:paraId="3369B9DD" w14:textId="77777777" w:rsidR="001702AE" w:rsidRDefault="001702AE" w:rsidP="006B54C7">
      <w:pPr>
        <w:pStyle w:val="Heading1"/>
        <w:spacing w:line="240" w:lineRule="auto"/>
      </w:pPr>
      <w:bookmarkStart w:id="56" w:name="_Toc131232866"/>
      <w:r>
        <w:lastRenderedPageBreak/>
        <w:t>4. Characteristics of clients: Financial counselling data</w:t>
      </w:r>
      <w:bookmarkEnd w:id="56"/>
      <w:r>
        <w:t xml:space="preserve"> </w:t>
      </w:r>
      <w:bookmarkEnd w:id="55"/>
    </w:p>
    <w:p w14:paraId="7A0C28A0" w14:textId="77777777" w:rsidR="001702AE" w:rsidRDefault="001702AE" w:rsidP="006B54C7">
      <w:pPr>
        <w:pStyle w:val="Heading2"/>
      </w:pPr>
      <w:bookmarkStart w:id="57" w:name="_Toc131232867"/>
      <w:r>
        <w:t>Key findings</w:t>
      </w:r>
      <w:bookmarkEnd w:id="57"/>
    </w:p>
    <w:p w14:paraId="3F7F7E0F" w14:textId="77777777" w:rsidR="001702AE" w:rsidRPr="00A913B2" w:rsidRDefault="001702AE" w:rsidP="005D72F8">
      <w:pPr>
        <w:pStyle w:val="Bullets"/>
      </w:pPr>
      <w:r w:rsidRPr="00A913B2">
        <w:t>71% of clients with BNPL debts identified as female</w:t>
      </w:r>
      <w:r>
        <w:t xml:space="preserve"> and 29% identified as male</w:t>
      </w:r>
      <w:r w:rsidRPr="00A913B2">
        <w:t>.</w:t>
      </w:r>
      <w:r w:rsidRPr="001C271F">
        <w:rPr>
          <w:vertAlign w:val="superscript"/>
        </w:rPr>
        <w:t xml:space="preserve"> </w:t>
      </w:r>
      <w:r w:rsidRPr="00A913B2">
        <w:t>Clients with BNPL debts were twice as likely to be female than clients with no BNPL debts (3</w:t>
      </w:r>
      <w:r>
        <w:t>6</w:t>
      </w:r>
      <w:r w:rsidRPr="00A913B2">
        <w:t>%).</w:t>
      </w:r>
    </w:p>
    <w:p w14:paraId="1913C9B6" w14:textId="77777777" w:rsidR="001702AE" w:rsidRPr="00A913B2" w:rsidRDefault="001702AE" w:rsidP="005D72F8">
      <w:pPr>
        <w:pStyle w:val="Bullets"/>
      </w:pPr>
      <w:r>
        <w:t>18</w:t>
      </w:r>
      <w:r w:rsidRPr="00A913B2">
        <w:t xml:space="preserve">% of clients with BNPL debts were young people aged under 25 years, and 5% were aged 60 years and above. </w:t>
      </w:r>
      <w:r>
        <w:t>O</w:t>
      </w:r>
      <w:r w:rsidRPr="00A913B2">
        <w:t xml:space="preserve">nly </w:t>
      </w:r>
      <w:r>
        <w:t>7</w:t>
      </w:r>
      <w:r w:rsidRPr="00A913B2">
        <w:t>% of clients with no BNPL debts were aged under 25 years, while 1</w:t>
      </w:r>
      <w:r>
        <w:t>8</w:t>
      </w:r>
      <w:r w:rsidRPr="00A913B2">
        <w:t>% were aged 60 years and over.</w:t>
      </w:r>
    </w:p>
    <w:p w14:paraId="272E10CD" w14:textId="77777777" w:rsidR="001702AE" w:rsidRPr="00A913B2" w:rsidRDefault="001702AE" w:rsidP="005D72F8">
      <w:pPr>
        <w:pStyle w:val="Bullets"/>
      </w:pPr>
      <w:r w:rsidRPr="00A913B2">
        <w:t>20% of clients with BNPL debts identified as Aboriginal and/or Torres Strait Islander, compared to 1</w:t>
      </w:r>
      <w:r>
        <w:t>2</w:t>
      </w:r>
      <w:r w:rsidRPr="00A913B2">
        <w:t xml:space="preserve">% of clients with no BNPL debts. </w:t>
      </w:r>
    </w:p>
    <w:p w14:paraId="2D475F77" w14:textId="77777777" w:rsidR="001702AE" w:rsidRDefault="001702AE" w:rsidP="006B54C7">
      <w:pPr>
        <w:pStyle w:val="Heading2"/>
      </w:pPr>
      <w:bookmarkStart w:id="58" w:name="_Toc130396327"/>
      <w:bookmarkStart w:id="59" w:name="_Toc131232868"/>
      <w:r>
        <w:t>4.1 Overview</w:t>
      </w:r>
      <w:bookmarkEnd w:id="58"/>
      <w:bookmarkEnd w:id="59"/>
    </w:p>
    <w:p w14:paraId="26262DA7" w14:textId="77777777" w:rsidR="001702AE" w:rsidRDefault="001702AE" w:rsidP="006B54C7">
      <w:pPr>
        <w:spacing w:after="240"/>
      </w:pPr>
      <w:r>
        <w:t xml:space="preserve">Between 1 January – 31 December 2022, 100 clients of Anglicare’s financial counselling service (who had Case File Notes and attended an Intake Appointment in 2022) reported one or more BNPL debts, either during their Intake Appointment or during preparation of their first complete Budget and/or Creditors Sheet. For the same period, 234 clients (who had Case File Notes and attended an Intake Appointment in 2022) reported no BNPL debts at the same stage of their engagement with financial counselling. We then excluded prisoners from both groups (see Box 4 below), resulting in 94 clients with BNPL debts and 179 clients with no BNPL debts. We compared key characteristics of these two groups of clients. </w:t>
      </w:r>
    </w:p>
    <w:p w14:paraId="21B215D8" w14:textId="77777777" w:rsidR="001702AE" w:rsidRDefault="001702AE" w:rsidP="006B54C7">
      <w:pPr>
        <w:spacing w:after="240"/>
      </w:pPr>
      <w:r>
        <w:rPr>
          <w:noProof/>
        </w:rPr>
        <mc:AlternateContent>
          <mc:Choice Requires="wps">
            <w:drawing>
              <wp:anchor distT="45720" distB="45720" distL="114300" distR="114300" simplePos="0" relativeHeight="251674624" behindDoc="0" locked="0" layoutInCell="1" allowOverlap="1" wp14:anchorId="10B7CB29" wp14:editId="045D721B">
                <wp:simplePos x="0" y="0"/>
                <wp:positionH relativeFrom="margin">
                  <wp:align>right</wp:align>
                </wp:positionH>
                <wp:positionV relativeFrom="paragraph">
                  <wp:posOffset>400685</wp:posOffset>
                </wp:positionV>
                <wp:extent cx="6375400" cy="3276600"/>
                <wp:effectExtent l="0" t="0" r="6350" b="0"/>
                <wp:wrapTopAndBottom/>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3276600"/>
                        </a:xfrm>
                        <a:prstGeom prst="rect">
                          <a:avLst/>
                        </a:prstGeom>
                        <a:solidFill>
                          <a:srgbClr val="E6E3D9"/>
                        </a:solidFill>
                        <a:ln w="9525">
                          <a:noFill/>
                          <a:miter lim="800000"/>
                          <a:headEnd/>
                          <a:tailEnd/>
                        </a:ln>
                      </wps:spPr>
                      <wps:txbx>
                        <w:txbxContent>
                          <w:p w14:paraId="5BBA3753" w14:textId="77777777" w:rsidR="006B54C7" w:rsidRPr="007568C8" w:rsidRDefault="006B54C7" w:rsidP="006B54C7">
                            <w:pPr>
                              <w:ind w:left="142"/>
                              <w:rPr>
                                <w:b/>
                                <w:szCs w:val="24"/>
                              </w:rPr>
                            </w:pPr>
                            <w:bookmarkStart w:id="60" w:name="_Hlk131071206"/>
                            <w:r w:rsidRPr="007568C8">
                              <w:rPr>
                                <w:b/>
                                <w:szCs w:val="24"/>
                              </w:rPr>
                              <w:t>Box 4: Clients who are current prisoners</w:t>
                            </w:r>
                          </w:p>
                          <w:p w14:paraId="11E9478B" w14:textId="77777777" w:rsidR="006B54C7" w:rsidRPr="000918A8" w:rsidRDefault="006B54C7" w:rsidP="00AF140E">
                            <w:pPr>
                              <w:spacing w:after="240"/>
                              <w:ind w:left="142"/>
                            </w:pPr>
                            <w:r w:rsidRPr="004959CF">
                              <w:rPr>
                                <w:szCs w:val="24"/>
                              </w:rPr>
                              <w:t xml:space="preserve">Anglicare Tasmania’s financial counselling service conducts outreach to people imprisoned in facilities of the Tasmanian Prison Service. This service model is reflected in the high proportion of prisoners amongst financial counselling clients: </w:t>
                            </w:r>
                            <w:r>
                              <w:rPr>
                                <w:szCs w:val="24"/>
                              </w:rPr>
                              <w:t xml:space="preserve">6 </w:t>
                            </w:r>
                            <w:r w:rsidRPr="004959CF">
                              <w:rPr>
                                <w:szCs w:val="24"/>
                              </w:rPr>
                              <w:t>clients</w:t>
                            </w:r>
                            <w:r>
                              <w:rPr>
                                <w:szCs w:val="24"/>
                              </w:rPr>
                              <w:t xml:space="preserve"> (6%)</w:t>
                            </w:r>
                            <w:r w:rsidRPr="004959CF">
                              <w:rPr>
                                <w:szCs w:val="24"/>
                              </w:rPr>
                              <w:t xml:space="preserve"> with BNPL debts and </w:t>
                            </w:r>
                            <w:r>
                              <w:rPr>
                                <w:szCs w:val="24"/>
                              </w:rPr>
                              <w:t xml:space="preserve">55 </w:t>
                            </w:r>
                            <w:r w:rsidRPr="004959CF">
                              <w:rPr>
                                <w:szCs w:val="24"/>
                              </w:rPr>
                              <w:t>clients</w:t>
                            </w:r>
                            <w:r>
                              <w:rPr>
                                <w:szCs w:val="24"/>
                              </w:rPr>
                              <w:t xml:space="preserve"> (24%)</w:t>
                            </w:r>
                            <w:r w:rsidRPr="004959CF">
                              <w:rPr>
                                <w:szCs w:val="24"/>
                              </w:rPr>
                              <w:t xml:space="preserve"> with no BNPL debts were current prisoners. Both these figures are much higher than Tasmania’s imprisonment rate in 2021, which was 149 prisoners per 100,000 or 0.15% of the adult population </w:t>
                            </w:r>
                            <w:r>
                              <w:rPr>
                                <w:noProof/>
                                <w:szCs w:val="24"/>
                              </w:rPr>
                              <w:t>(ABS 2021)</w:t>
                            </w:r>
                            <w:r w:rsidRPr="004959CF">
                              <w:rPr>
                                <w:szCs w:val="24"/>
                              </w:rPr>
                              <w:t xml:space="preserve">. </w:t>
                            </w:r>
                          </w:p>
                          <w:p w14:paraId="3D6A518C" w14:textId="77777777" w:rsidR="006B54C7" w:rsidRDefault="006B54C7" w:rsidP="00AF140E">
                            <w:pPr>
                              <w:spacing w:after="240"/>
                              <w:ind w:left="142"/>
                              <w:rPr>
                                <w:szCs w:val="24"/>
                              </w:rPr>
                            </w:pPr>
                            <w:r>
                              <w:rPr>
                                <w:szCs w:val="24"/>
                              </w:rPr>
                              <w:t>Financial counselling enables people to manage their financial affairs while in prison and the high level of engagement with people in prison reflects the value of this service to people who are incarcerated. It is an important part of Anglicare’s financial counselling work.</w:t>
                            </w:r>
                          </w:p>
                          <w:p w14:paraId="32C74E96" w14:textId="77777777" w:rsidR="006B54C7" w:rsidRDefault="006B54C7" w:rsidP="006B54C7">
                            <w:pPr>
                              <w:spacing w:after="240"/>
                              <w:ind w:left="142"/>
                              <w:rPr>
                                <w:szCs w:val="24"/>
                              </w:rPr>
                            </w:pPr>
                            <w:r>
                              <w:rPr>
                                <w:szCs w:val="24"/>
                              </w:rPr>
                              <w:t>However, in order to compare the characteristics of people with and without BNPL debts who seek assistance from Anglicare’s Financial Counsellors, the data for current prisoners has been excluded to avoid skewing results. The experiences of people in prison have been included in all other areas of this research.</w:t>
                            </w:r>
                          </w:p>
                          <w:bookmarkEnd w:id="60"/>
                          <w:p w14:paraId="231EAB75" w14:textId="77777777" w:rsidR="006B54C7" w:rsidRPr="005B1062" w:rsidRDefault="006B54C7" w:rsidP="006B54C7">
                            <w:pPr>
                              <w:spacing w:after="240"/>
                              <w:ind w:left="142"/>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7CB29" id="_x0000_s1030" type="#_x0000_t202" style="position:absolute;margin-left:450.8pt;margin-top:31.55pt;width:502pt;height:258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" fillcolor="#e6e3d9" stroked="f">
                <v:textbox>
                  <w:txbxContent>
                    <w:p w14:paraId="5BBA3753" w14:textId="77777777" w:rsidR="006B54C7" w:rsidRPr="007568C8" w:rsidRDefault="006B54C7" w:rsidP="006B54C7">
                      <w:pPr>
                        <w:ind w:left="142"/>
                        <w:rPr>
                          <w:b/>
                          <w:szCs w:val="24"/>
                        </w:rPr>
                      </w:pPr>
                      <w:bookmarkStart w:id="61" w:name="_Hlk131071206"/>
                      <w:r w:rsidRPr="007568C8">
                        <w:rPr>
                          <w:b/>
                          <w:szCs w:val="24"/>
                        </w:rPr>
                        <w:t>Box 4: Clients who are current prisoners</w:t>
                      </w:r>
                    </w:p>
                    <w:p w14:paraId="11E9478B" w14:textId="77777777" w:rsidR="006B54C7" w:rsidRPr="000918A8" w:rsidRDefault="006B54C7" w:rsidP="00AF140E">
                      <w:pPr>
                        <w:spacing w:after="240"/>
                        <w:ind w:left="142"/>
                      </w:pPr>
                      <w:r w:rsidRPr="004959CF">
                        <w:rPr>
                          <w:szCs w:val="24"/>
                        </w:rPr>
                        <w:t xml:space="preserve">Anglicare Tasmania’s financial counselling service conducts outreach to people imprisoned in facilities of the Tasmanian Prison Service. This service model is reflected in the high proportion of prisoners amongst financial counselling clients: </w:t>
                      </w:r>
                      <w:r>
                        <w:rPr>
                          <w:szCs w:val="24"/>
                        </w:rPr>
                        <w:t xml:space="preserve">6 </w:t>
                      </w:r>
                      <w:r w:rsidRPr="004959CF">
                        <w:rPr>
                          <w:szCs w:val="24"/>
                        </w:rPr>
                        <w:t>clients</w:t>
                      </w:r>
                      <w:r>
                        <w:rPr>
                          <w:szCs w:val="24"/>
                        </w:rPr>
                        <w:t xml:space="preserve"> (6%)</w:t>
                      </w:r>
                      <w:r w:rsidRPr="004959CF">
                        <w:rPr>
                          <w:szCs w:val="24"/>
                        </w:rPr>
                        <w:t xml:space="preserve"> with BNPL debts and </w:t>
                      </w:r>
                      <w:r>
                        <w:rPr>
                          <w:szCs w:val="24"/>
                        </w:rPr>
                        <w:t xml:space="preserve">55 </w:t>
                      </w:r>
                      <w:r w:rsidRPr="004959CF">
                        <w:rPr>
                          <w:szCs w:val="24"/>
                        </w:rPr>
                        <w:t>clients</w:t>
                      </w:r>
                      <w:r>
                        <w:rPr>
                          <w:szCs w:val="24"/>
                        </w:rPr>
                        <w:t xml:space="preserve"> (24%)</w:t>
                      </w:r>
                      <w:r w:rsidRPr="004959CF">
                        <w:rPr>
                          <w:szCs w:val="24"/>
                        </w:rPr>
                        <w:t xml:space="preserve"> with no BNPL debts were current prisoners. Both these figures are much higher than Tasmania’s imprisonment rate in 2021, which was 149 prisoners per 100,000 or 0.15% of the adult population </w:t>
                      </w:r>
                      <w:r>
                        <w:rPr>
                          <w:noProof/>
                          <w:szCs w:val="24"/>
                        </w:rPr>
                        <w:t>(ABS 2021)</w:t>
                      </w:r>
                      <w:r w:rsidRPr="004959CF">
                        <w:rPr>
                          <w:szCs w:val="24"/>
                        </w:rPr>
                        <w:t xml:space="preserve">. </w:t>
                      </w:r>
                    </w:p>
                    <w:p w14:paraId="3D6A518C" w14:textId="77777777" w:rsidR="006B54C7" w:rsidRDefault="006B54C7" w:rsidP="00AF140E">
                      <w:pPr>
                        <w:spacing w:after="240"/>
                        <w:ind w:left="142"/>
                        <w:rPr>
                          <w:szCs w:val="24"/>
                        </w:rPr>
                      </w:pPr>
                      <w:r>
                        <w:rPr>
                          <w:szCs w:val="24"/>
                        </w:rPr>
                        <w:t>Financial counselling enables people to manage their financial affairs while in prison and the high level of engagement with people in prison reflects the value of this service to people who are incarcerated. It is an important part of Anglicare’s financial counselling work.</w:t>
                      </w:r>
                    </w:p>
                    <w:p w14:paraId="32C74E96" w14:textId="77777777" w:rsidR="006B54C7" w:rsidRDefault="006B54C7" w:rsidP="006B54C7">
                      <w:pPr>
                        <w:spacing w:after="240"/>
                        <w:ind w:left="142"/>
                        <w:rPr>
                          <w:szCs w:val="24"/>
                        </w:rPr>
                      </w:pPr>
                      <w:r>
                        <w:rPr>
                          <w:szCs w:val="24"/>
                        </w:rPr>
                        <w:t>However, in order to compare the characteristics of people with and without BNPL debts who seek assistance from Anglicare’s Financial Counsellors, the data for current prisoners has been excluded to avoid skewing results. The experiences of people in prison have been included in all other areas of this research.</w:t>
                      </w:r>
                    </w:p>
                    <w:bookmarkEnd w:id="61"/>
                    <w:p w14:paraId="231EAB75" w14:textId="77777777" w:rsidR="006B54C7" w:rsidRPr="005B1062" w:rsidRDefault="006B54C7" w:rsidP="006B54C7">
                      <w:pPr>
                        <w:spacing w:after="240"/>
                        <w:ind w:left="142"/>
                        <w:rPr>
                          <w:szCs w:val="24"/>
                        </w:rPr>
                      </w:pPr>
                    </w:p>
                  </w:txbxContent>
                </v:textbox>
                <w10:wrap type="topAndBottom" anchorx="margin"/>
              </v:shape>
            </w:pict>
          </mc:Fallback>
        </mc:AlternateContent>
      </w:r>
    </w:p>
    <w:p w14:paraId="47FCBF75" w14:textId="77777777" w:rsidR="001702AE" w:rsidRDefault="001702AE" w:rsidP="006B54C7">
      <w:pPr>
        <w:pStyle w:val="Heading2"/>
      </w:pPr>
      <w:bookmarkStart w:id="62" w:name="_Toc130396328"/>
      <w:bookmarkStart w:id="63" w:name="_Toc131232869"/>
      <w:r>
        <w:lastRenderedPageBreak/>
        <w:t>4.2 Gender</w:t>
      </w:r>
      <w:bookmarkEnd w:id="62"/>
      <w:bookmarkEnd w:id="63"/>
    </w:p>
    <w:p w14:paraId="4649C9FD" w14:textId="77777777" w:rsidR="001702AE" w:rsidRPr="00943148" w:rsidRDefault="001702AE" w:rsidP="006B54C7">
      <w:pPr>
        <w:spacing w:after="240"/>
        <w:rPr>
          <w:rStyle w:val="Strong"/>
        </w:rPr>
      </w:pPr>
      <w:r w:rsidRPr="00943148">
        <w:rPr>
          <w:rStyle w:val="Strong"/>
        </w:rPr>
        <w:t>We found that clients with BNPL debts were more likely to be young, female and Aboriginal and/or Torres Strait Islander, compared to clients with no BNPL debts.</w:t>
      </w:r>
    </w:p>
    <w:p w14:paraId="17D6CAA0" w14:textId="3FF3A890" w:rsidR="001702AE" w:rsidRDefault="001702AE" w:rsidP="006B54C7">
      <w:pPr>
        <w:spacing w:after="240"/>
      </w:pPr>
      <w:r>
        <w:t xml:space="preserve">BNPL use is widely thought to be more prevalent among females than males </w:t>
      </w:r>
      <w:r>
        <w:rPr>
          <w:noProof/>
        </w:rPr>
        <w:t>(Good Shepherd 2022)</w:t>
      </w:r>
      <w:r>
        <w:t>. Clients with BNPL debts (n = 94) were more likely to be female, with 71% identifying as female and 29% identifying as male.</w:t>
      </w:r>
      <w:r>
        <w:rPr>
          <w:rStyle w:val="FootnoteReference"/>
        </w:rPr>
        <w:footnoteReference w:id="5"/>
      </w:r>
      <w:r>
        <w:t xml:space="preserve"> In comparison, for clients with no BNPL debts (n = 179), 36% identif</w:t>
      </w:r>
      <w:r w:rsidR="006B54C7">
        <w:t>i</w:t>
      </w:r>
      <w:r>
        <w:t>ed as female and 64% as male.</w:t>
      </w:r>
      <w:r w:rsidRPr="009A3245">
        <w:rPr>
          <w:vertAlign w:val="superscript"/>
        </w:rPr>
        <w:t xml:space="preserve">6 </w:t>
      </w:r>
    </w:p>
    <w:p w14:paraId="26281C31" w14:textId="77777777" w:rsidR="001702AE" w:rsidRPr="00A417AD" w:rsidRDefault="001702AE" w:rsidP="006B54C7">
      <w:pPr>
        <w:spacing w:after="240"/>
        <w:rPr>
          <w:b/>
          <w:bCs/>
        </w:rPr>
      </w:pPr>
      <w:r w:rsidRPr="00A417AD">
        <w:rPr>
          <w:b/>
          <w:bCs/>
        </w:rPr>
        <w:t xml:space="preserve">Clients with BNPL debts were more than twice as likely to </w:t>
      </w:r>
      <w:r>
        <w:rPr>
          <w:b/>
          <w:bCs/>
        </w:rPr>
        <w:t>identify as</w:t>
      </w:r>
      <w:r w:rsidRPr="00A417AD">
        <w:rPr>
          <w:b/>
          <w:bCs/>
        </w:rPr>
        <w:t xml:space="preserve"> female than clients with no BNPL debts.</w:t>
      </w:r>
      <w:r w:rsidRPr="00A417AD">
        <w:rPr>
          <w:b/>
          <w:bCs/>
          <w:noProof/>
        </w:rPr>
        <w:t xml:space="preserve"> </w:t>
      </w:r>
    </w:p>
    <w:p w14:paraId="6BCE42E3" w14:textId="77777777" w:rsidR="001702AE" w:rsidRPr="000B789E" w:rsidRDefault="001702AE" w:rsidP="006B54C7">
      <w:pPr>
        <w:rPr>
          <w:i/>
          <w:color w:val="2F5496" w:themeColor="accent1" w:themeShade="BF"/>
        </w:rPr>
      </w:pPr>
      <w:r w:rsidRPr="000B789E">
        <w:rPr>
          <w:i/>
          <w:color w:val="2F5496" w:themeColor="accent1" w:themeShade="BF"/>
        </w:rPr>
        <w:t xml:space="preserve">Figure 1: Gender of clients </w:t>
      </w:r>
    </w:p>
    <w:p w14:paraId="62E8FC6B" w14:textId="77777777" w:rsidR="001702AE" w:rsidRDefault="001702AE" w:rsidP="006B54C7">
      <w:pPr>
        <w:spacing w:after="240"/>
      </w:pPr>
      <w:r>
        <w:rPr>
          <w:noProof/>
        </w:rPr>
        <w:drawing>
          <wp:inline distT="0" distB="0" distL="0" distR="0" wp14:anchorId="019B9B6C" wp14:editId="49A636F4">
            <wp:extent cx="4572000" cy="2743200"/>
            <wp:effectExtent l="0" t="0" r="0" b="0"/>
            <wp:docPr id="22" name="Chart 22">
              <a:extLst xmlns:a="http://schemas.openxmlformats.org/drawingml/2006/main">
                <a:ext uri="{FF2B5EF4-FFF2-40B4-BE49-F238E27FC236}">
                  <a16:creationId xmlns:a16="http://schemas.microsoft.com/office/drawing/2014/main" id="{1623B704-7779-4F49-A720-B0AA912AD9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287BC0" w14:textId="77777777" w:rsidR="001702AE" w:rsidRDefault="001702AE" w:rsidP="006B54C7">
      <w:pPr>
        <w:pStyle w:val="Heading2"/>
      </w:pPr>
      <w:bookmarkStart w:id="64" w:name="_Toc130396329"/>
      <w:bookmarkStart w:id="65" w:name="_Toc131232870"/>
      <w:r>
        <w:t>4.3 Age profile</w:t>
      </w:r>
      <w:bookmarkEnd w:id="64"/>
      <w:bookmarkEnd w:id="65"/>
    </w:p>
    <w:p w14:paraId="6F203749" w14:textId="77777777" w:rsidR="001702AE" w:rsidRDefault="001702AE" w:rsidP="006B54C7">
      <w:pPr>
        <w:spacing w:after="240"/>
      </w:pPr>
      <w:r>
        <w:t xml:space="preserve">BNPL use is thought to be more prevalent amongst younger people than older people in Australia. Our findings support that view. For clients with BNPL debts (n = 94), 18% were aged under 25 years, and 5% were aged 60 years and over. In comparison, for clients with no BNPL debts (n = 179) only 7% of clients were aged under 25 years and 18% were aged 60 years or over. For the Tasmanian population in 2021, 28% were aged under 25 years and 28% were aged 60 years and over </w:t>
      </w:r>
      <w:r>
        <w:rPr>
          <w:noProof/>
        </w:rPr>
        <w:t>(ABS 2022a)</w:t>
      </w:r>
      <w:r>
        <w:t xml:space="preserve">. </w:t>
      </w:r>
    </w:p>
    <w:p w14:paraId="41F5D0BF" w14:textId="77777777" w:rsidR="001702AE" w:rsidRPr="00A417AD" w:rsidRDefault="001702AE" w:rsidP="006B54C7">
      <w:pPr>
        <w:spacing w:after="0"/>
        <w:rPr>
          <w:rFonts w:cstheme="minorHAnsi"/>
          <w:b/>
          <w:bCs/>
        </w:rPr>
      </w:pPr>
      <w:r w:rsidRPr="00A417AD">
        <w:rPr>
          <w:rFonts w:cstheme="minorHAnsi"/>
          <w:b/>
          <w:bCs/>
        </w:rPr>
        <w:t>Clients with BNPL debts were more than twice as likely to be aged under 25 years than clients with no BNPL debts.</w:t>
      </w:r>
    </w:p>
    <w:p w14:paraId="0E561884" w14:textId="77777777" w:rsidR="001702AE" w:rsidRDefault="001702AE">
      <w:pPr>
        <w:spacing w:before="0" w:after="0"/>
        <w:rPr>
          <w:rFonts w:cstheme="minorHAnsi"/>
          <w:i/>
          <w:color w:val="2F5496" w:themeColor="accent1" w:themeShade="BF"/>
        </w:rPr>
      </w:pPr>
      <w:r>
        <w:rPr>
          <w:rFonts w:cstheme="minorHAnsi"/>
          <w:i/>
          <w:color w:val="2F5496" w:themeColor="accent1" w:themeShade="BF"/>
        </w:rPr>
        <w:br w:type="page"/>
      </w:r>
    </w:p>
    <w:p w14:paraId="17F72D5D" w14:textId="77777777" w:rsidR="001702AE" w:rsidRPr="000B789E" w:rsidRDefault="001702AE" w:rsidP="006B54C7">
      <w:pPr>
        <w:spacing w:before="360"/>
        <w:rPr>
          <w:rFonts w:cstheme="minorHAnsi"/>
          <w:color w:val="2F5496" w:themeColor="accent1" w:themeShade="BF"/>
        </w:rPr>
      </w:pPr>
      <w:r w:rsidRPr="000B789E">
        <w:rPr>
          <w:rFonts w:cstheme="minorHAnsi"/>
          <w:i/>
          <w:color w:val="2F5496" w:themeColor="accent1" w:themeShade="BF"/>
        </w:rPr>
        <w:lastRenderedPageBreak/>
        <w:t>Table 1: Age profile of client</w:t>
      </w:r>
      <w:r>
        <w:rPr>
          <w:rFonts w:cstheme="minorHAnsi"/>
          <w:i/>
          <w:color w:val="2F5496" w:themeColor="accent1" w:themeShade="BF"/>
        </w:rPr>
        <w:t>s</w:t>
      </w:r>
    </w:p>
    <w:tbl>
      <w:tblPr>
        <w:tblStyle w:val="PlainTable2"/>
        <w:tblW w:w="0" w:type="auto"/>
        <w:tblLook w:val="04A0" w:firstRow="1" w:lastRow="0" w:firstColumn="1" w:lastColumn="0" w:noHBand="0" w:noVBand="1"/>
      </w:tblPr>
      <w:tblGrid>
        <w:gridCol w:w="3261"/>
        <w:gridCol w:w="1520"/>
        <w:gridCol w:w="1520"/>
        <w:gridCol w:w="1520"/>
        <w:gridCol w:w="1520"/>
      </w:tblGrid>
      <w:tr w:rsidR="001702AE" w:rsidRPr="0093318B" w14:paraId="02B27415" w14:textId="77777777" w:rsidTr="006B54C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vMerge w:val="restart"/>
            <w:shd w:val="clear" w:color="auto" w:fill="E6E3D9"/>
            <w:noWrap/>
          </w:tcPr>
          <w:p w14:paraId="0093FF1D" w14:textId="77777777" w:rsidR="001702AE" w:rsidRPr="002E47A5" w:rsidRDefault="001702AE" w:rsidP="006B54C7">
            <w:pPr>
              <w:rPr>
                <w:rFonts w:cstheme="minorHAnsi"/>
                <w:sz w:val="20"/>
                <w:szCs w:val="20"/>
              </w:rPr>
            </w:pPr>
            <w:r w:rsidRPr="002E47A5">
              <w:rPr>
                <w:rFonts w:cstheme="minorHAnsi"/>
                <w:sz w:val="20"/>
                <w:szCs w:val="20"/>
              </w:rPr>
              <w:t>Age (years)</w:t>
            </w:r>
            <w:r w:rsidRPr="002E47A5">
              <w:rPr>
                <w:rStyle w:val="FootnoteReference"/>
                <w:color w:val="2F5496" w:themeColor="accent1" w:themeShade="BF"/>
                <w:sz w:val="22"/>
              </w:rPr>
              <w:t xml:space="preserve"> </w:t>
            </w:r>
            <w:r w:rsidRPr="002E47A5">
              <w:rPr>
                <w:rStyle w:val="FootnoteReference"/>
              </w:rPr>
              <w:footnoteReference w:id="6"/>
            </w:r>
          </w:p>
        </w:tc>
        <w:tc>
          <w:tcPr>
            <w:tcW w:w="3040" w:type="dxa"/>
            <w:gridSpan w:val="2"/>
            <w:shd w:val="clear" w:color="auto" w:fill="E6E3D9"/>
            <w:noWrap/>
          </w:tcPr>
          <w:p w14:paraId="48AEA319" w14:textId="77777777" w:rsidR="001702AE" w:rsidRPr="002E47A5" w:rsidRDefault="001702AE" w:rsidP="006B54C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E47A5">
              <w:rPr>
                <w:rFonts w:cstheme="minorHAnsi"/>
                <w:sz w:val="20"/>
                <w:szCs w:val="20"/>
              </w:rPr>
              <w:t>Clients with BNPL debts</w:t>
            </w:r>
          </w:p>
        </w:tc>
        <w:tc>
          <w:tcPr>
            <w:tcW w:w="3040" w:type="dxa"/>
            <w:gridSpan w:val="2"/>
            <w:shd w:val="clear" w:color="auto" w:fill="E6E3D9"/>
          </w:tcPr>
          <w:p w14:paraId="6EB3CC53" w14:textId="77777777" w:rsidR="001702AE" w:rsidRPr="002E47A5" w:rsidRDefault="001702AE" w:rsidP="006B54C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E47A5">
              <w:rPr>
                <w:rFonts w:cstheme="minorHAnsi"/>
                <w:sz w:val="20"/>
                <w:szCs w:val="20"/>
              </w:rPr>
              <w:t>Clients with no BNPL debts</w:t>
            </w:r>
          </w:p>
        </w:tc>
      </w:tr>
      <w:tr w:rsidR="001702AE" w:rsidRPr="0093318B" w14:paraId="673AEC3E"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vMerge/>
            <w:shd w:val="clear" w:color="auto" w:fill="E6E3D9"/>
            <w:noWrap/>
            <w:hideMark/>
          </w:tcPr>
          <w:p w14:paraId="131BFAB6" w14:textId="77777777" w:rsidR="001702AE" w:rsidRPr="002E47A5" w:rsidRDefault="001702AE" w:rsidP="006B54C7">
            <w:pPr>
              <w:rPr>
                <w:rFonts w:cstheme="minorHAnsi"/>
                <w:sz w:val="20"/>
                <w:szCs w:val="20"/>
              </w:rPr>
            </w:pPr>
          </w:p>
        </w:tc>
        <w:tc>
          <w:tcPr>
            <w:tcW w:w="1520" w:type="dxa"/>
            <w:shd w:val="clear" w:color="auto" w:fill="E6E3D9"/>
            <w:noWrap/>
            <w:hideMark/>
          </w:tcPr>
          <w:p w14:paraId="336DCA9F" w14:textId="77777777" w:rsidR="001702AE" w:rsidRPr="002E47A5"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E47A5">
              <w:rPr>
                <w:rFonts w:cstheme="minorHAnsi"/>
                <w:b/>
                <w:sz w:val="20"/>
                <w:szCs w:val="20"/>
              </w:rPr>
              <w:t>No.</w:t>
            </w:r>
          </w:p>
        </w:tc>
        <w:tc>
          <w:tcPr>
            <w:tcW w:w="1520" w:type="dxa"/>
            <w:shd w:val="clear" w:color="auto" w:fill="E6E3D9"/>
            <w:noWrap/>
            <w:hideMark/>
          </w:tcPr>
          <w:p w14:paraId="16031094" w14:textId="77777777" w:rsidR="001702AE" w:rsidRPr="002E47A5"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E47A5">
              <w:rPr>
                <w:rFonts w:cstheme="minorHAnsi"/>
                <w:b/>
                <w:sz w:val="20"/>
                <w:szCs w:val="20"/>
              </w:rPr>
              <w:t>%</w:t>
            </w:r>
          </w:p>
        </w:tc>
        <w:tc>
          <w:tcPr>
            <w:tcW w:w="1520" w:type="dxa"/>
            <w:shd w:val="clear" w:color="auto" w:fill="E6E3D9"/>
          </w:tcPr>
          <w:p w14:paraId="0E9FB6F0" w14:textId="77777777" w:rsidR="001702AE" w:rsidRPr="002E47A5"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E47A5">
              <w:rPr>
                <w:rFonts w:cstheme="minorHAnsi"/>
                <w:b/>
                <w:sz w:val="20"/>
                <w:szCs w:val="20"/>
              </w:rPr>
              <w:t>No.</w:t>
            </w:r>
          </w:p>
        </w:tc>
        <w:tc>
          <w:tcPr>
            <w:tcW w:w="1520" w:type="dxa"/>
            <w:shd w:val="clear" w:color="auto" w:fill="E6E3D9"/>
          </w:tcPr>
          <w:p w14:paraId="2039DF5E" w14:textId="77777777" w:rsidR="001702AE" w:rsidRPr="002E47A5"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E47A5">
              <w:rPr>
                <w:rFonts w:cstheme="minorHAnsi"/>
                <w:b/>
                <w:sz w:val="20"/>
                <w:szCs w:val="20"/>
              </w:rPr>
              <w:t>%</w:t>
            </w:r>
          </w:p>
        </w:tc>
      </w:tr>
      <w:tr w:rsidR="001702AE" w:rsidRPr="00991953" w14:paraId="3A27C50D"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tcPr>
          <w:p w14:paraId="5A85F138" w14:textId="77777777" w:rsidR="001702AE" w:rsidRPr="00991953" w:rsidRDefault="001702AE" w:rsidP="006B54C7">
            <w:pPr>
              <w:rPr>
                <w:rFonts w:cstheme="minorHAnsi"/>
                <w:sz w:val="20"/>
                <w:szCs w:val="20"/>
              </w:rPr>
            </w:pPr>
            <w:r w:rsidRPr="00991953">
              <w:rPr>
                <w:rFonts w:cstheme="minorHAnsi"/>
                <w:sz w:val="20"/>
                <w:szCs w:val="20"/>
              </w:rPr>
              <w:t>15-19</w:t>
            </w:r>
          </w:p>
        </w:tc>
        <w:tc>
          <w:tcPr>
            <w:tcW w:w="1520" w:type="dxa"/>
            <w:noWrap/>
          </w:tcPr>
          <w:p w14:paraId="5F83E45B"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0</w:t>
            </w:r>
          </w:p>
        </w:tc>
        <w:tc>
          <w:tcPr>
            <w:tcW w:w="1520" w:type="dxa"/>
            <w:noWrap/>
          </w:tcPr>
          <w:p w14:paraId="61DC704A"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0%</w:t>
            </w:r>
          </w:p>
        </w:tc>
        <w:tc>
          <w:tcPr>
            <w:tcW w:w="1520" w:type="dxa"/>
          </w:tcPr>
          <w:p w14:paraId="60CCC30A"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3</w:t>
            </w:r>
          </w:p>
        </w:tc>
        <w:tc>
          <w:tcPr>
            <w:tcW w:w="1520" w:type="dxa"/>
          </w:tcPr>
          <w:p w14:paraId="2A632FA6"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91953">
              <w:rPr>
                <w:rFonts w:cstheme="minorHAnsi"/>
                <w:sz w:val="20"/>
                <w:szCs w:val="20"/>
              </w:rPr>
              <w:t>2%</w:t>
            </w:r>
          </w:p>
        </w:tc>
      </w:tr>
      <w:tr w:rsidR="001702AE" w:rsidRPr="00991953" w14:paraId="53DEF00C"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2BF6415" w14:textId="77777777" w:rsidR="001702AE" w:rsidRPr="00991953" w:rsidRDefault="001702AE" w:rsidP="006B54C7">
            <w:pPr>
              <w:rPr>
                <w:rFonts w:cstheme="minorHAnsi"/>
                <w:sz w:val="20"/>
                <w:szCs w:val="20"/>
              </w:rPr>
            </w:pPr>
            <w:r w:rsidRPr="00991953">
              <w:rPr>
                <w:rFonts w:cstheme="minorHAnsi"/>
                <w:sz w:val="20"/>
                <w:szCs w:val="20"/>
              </w:rPr>
              <w:t>20-24</w:t>
            </w:r>
          </w:p>
        </w:tc>
        <w:tc>
          <w:tcPr>
            <w:tcW w:w="1520" w:type="dxa"/>
            <w:noWrap/>
          </w:tcPr>
          <w:p w14:paraId="236F43BC"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18</w:t>
            </w:r>
          </w:p>
        </w:tc>
        <w:tc>
          <w:tcPr>
            <w:tcW w:w="1520" w:type="dxa"/>
            <w:noWrap/>
          </w:tcPr>
          <w:p w14:paraId="7E864F6C"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w:t>
            </w:r>
            <w:r>
              <w:rPr>
                <w:rFonts w:cstheme="minorHAnsi"/>
                <w:color w:val="000000"/>
                <w:sz w:val="20"/>
                <w:szCs w:val="20"/>
              </w:rPr>
              <w:t>8</w:t>
            </w:r>
            <w:r w:rsidRPr="00991953">
              <w:rPr>
                <w:rFonts w:cstheme="minorHAnsi"/>
                <w:color w:val="000000"/>
                <w:sz w:val="20"/>
                <w:szCs w:val="20"/>
              </w:rPr>
              <w:t>%</w:t>
            </w:r>
          </w:p>
        </w:tc>
        <w:tc>
          <w:tcPr>
            <w:tcW w:w="1520" w:type="dxa"/>
          </w:tcPr>
          <w:p w14:paraId="01A1D10F"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9</w:t>
            </w:r>
          </w:p>
        </w:tc>
        <w:tc>
          <w:tcPr>
            <w:tcW w:w="1520" w:type="dxa"/>
          </w:tcPr>
          <w:p w14:paraId="37DDD270"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1953">
              <w:rPr>
                <w:rFonts w:cstheme="minorHAnsi"/>
                <w:sz w:val="20"/>
                <w:szCs w:val="20"/>
              </w:rPr>
              <w:t>5%</w:t>
            </w:r>
          </w:p>
        </w:tc>
      </w:tr>
      <w:tr w:rsidR="001702AE" w:rsidRPr="00991953" w14:paraId="50D8F552"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ABEE1A" w14:textId="77777777" w:rsidR="001702AE" w:rsidRPr="00991953" w:rsidRDefault="001702AE" w:rsidP="006B54C7">
            <w:pPr>
              <w:rPr>
                <w:rFonts w:cstheme="minorHAnsi"/>
                <w:i/>
                <w:sz w:val="20"/>
                <w:szCs w:val="20"/>
              </w:rPr>
            </w:pPr>
            <w:r w:rsidRPr="00991953">
              <w:rPr>
                <w:rFonts w:cstheme="minorHAnsi"/>
                <w:i/>
                <w:sz w:val="20"/>
                <w:szCs w:val="20"/>
              </w:rPr>
              <w:t>Aged under 25 years</w:t>
            </w:r>
          </w:p>
        </w:tc>
        <w:tc>
          <w:tcPr>
            <w:tcW w:w="1520" w:type="dxa"/>
            <w:noWrap/>
          </w:tcPr>
          <w:p w14:paraId="20DA2AF2"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991953">
              <w:rPr>
                <w:rFonts w:cstheme="minorHAnsi"/>
                <w:i/>
                <w:color w:val="000000"/>
                <w:sz w:val="20"/>
                <w:szCs w:val="20"/>
              </w:rPr>
              <w:t>18</w:t>
            </w:r>
          </w:p>
        </w:tc>
        <w:tc>
          <w:tcPr>
            <w:tcW w:w="1520" w:type="dxa"/>
            <w:noWrap/>
          </w:tcPr>
          <w:p w14:paraId="6CAE5509"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991953">
              <w:rPr>
                <w:rFonts w:cstheme="minorHAnsi"/>
                <w:i/>
                <w:color w:val="000000"/>
                <w:sz w:val="20"/>
                <w:szCs w:val="20"/>
              </w:rPr>
              <w:t>1</w:t>
            </w:r>
            <w:r>
              <w:rPr>
                <w:rFonts w:cstheme="minorHAnsi"/>
                <w:i/>
                <w:color w:val="000000"/>
                <w:sz w:val="20"/>
                <w:szCs w:val="20"/>
              </w:rPr>
              <w:t>8</w:t>
            </w:r>
            <w:r w:rsidRPr="00991953">
              <w:rPr>
                <w:rFonts w:cstheme="minorHAnsi"/>
                <w:i/>
                <w:color w:val="000000"/>
                <w:sz w:val="20"/>
                <w:szCs w:val="20"/>
              </w:rPr>
              <w:t>%</w:t>
            </w:r>
          </w:p>
        </w:tc>
        <w:tc>
          <w:tcPr>
            <w:tcW w:w="1520" w:type="dxa"/>
          </w:tcPr>
          <w:p w14:paraId="77013347"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991953">
              <w:rPr>
                <w:rFonts w:cstheme="minorHAnsi"/>
                <w:i/>
                <w:color w:val="000000"/>
                <w:sz w:val="20"/>
                <w:szCs w:val="20"/>
              </w:rPr>
              <w:t>12</w:t>
            </w:r>
          </w:p>
        </w:tc>
        <w:tc>
          <w:tcPr>
            <w:tcW w:w="1520" w:type="dxa"/>
          </w:tcPr>
          <w:p w14:paraId="04191220"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991953">
              <w:rPr>
                <w:rFonts w:cstheme="minorHAnsi"/>
                <w:i/>
                <w:sz w:val="20"/>
                <w:szCs w:val="20"/>
              </w:rPr>
              <w:t>7%</w:t>
            </w:r>
          </w:p>
        </w:tc>
      </w:tr>
      <w:tr w:rsidR="001702AE" w:rsidRPr="00991953" w14:paraId="6D85E301"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noWrap/>
          </w:tcPr>
          <w:p w14:paraId="2E481E43" w14:textId="77777777" w:rsidR="001702AE" w:rsidRPr="00991953" w:rsidRDefault="001702AE" w:rsidP="006B54C7">
            <w:pPr>
              <w:rPr>
                <w:rFonts w:cstheme="minorHAnsi"/>
                <w:sz w:val="20"/>
                <w:szCs w:val="20"/>
              </w:rPr>
            </w:pPr>
            <w:r w:rsidRPr="00991953">
              <w:rPr>
                <w:rFonts w:cstheme="minorHAnsi"/>
                <w:sz w:val="20"/>
                <w:szCs w:val="20"/>
              </w:rPr>
              <w:t>25-29</w:t>
            </w:r>
          </w:p>
        </w:tc>
        <w:tc>
          <w:tcPr>
            <w:tcW w:w="1520" w:type="dxa"/>
            <w:noWrap/>
          </w:tcPr>
          <w:p w14:paraId="1FBDB128"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12</w:t>
            </w:r>
          </w:p>
        </w:tc>
        <w:tc>
          <w:tcPr>
            <w:tcW w:w="1520" w:type="dxa"/>
            <w:noWrap/>
          </w:tcPr>
          <w:p w14:paraId="4B420394"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w:t>
            </w:r>
            <w:r>
              <w:rPr>
                <w:rFonts w:cstheme="minorHAnsi"/>
                <w:color w:val="000000"/>
                <w:sz w:val="20"/>
                <w:szCs w:val="20"/>
              </w:rPr>
              <w:t>4</w:t>
            </w:r>
            <w:r w:rsidRPr="00991953">
              <w:rPr>
                <w:rFonts w:cstheme="minorHAnsi"/>
                <w:color w:val="000000"/>
                <w:sz w:val="20"/>
                <w:szCs w:val="20"/>
              </w:rPr>
              <w:t>%</w:t>
            </w:r>
          </w:p>
        </w:tc>
        <w:tc>
          <w:tcPr>
            <w:tcW w:w="1520" w:type="dxa"/>
          </w:tcPr>
          <w:p w14:paraId="3E901983"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24</w:t>
            </w:r>
          </w:p>
        </w:tc>
        <w:tc>
          <w:tcPr>
            <w:tcW w:w="1520" w:type="dxa"/>
          </w:tcPr>
          <w:p w14:paraId="392F7AC6"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1953">
              <w:rPr>
                <w:rFonts w:cstheme="minorHAnsi"/>
                <w:sz w:val="20"/>
                <w:szCs w:val="20"/>
              </w:rPr>
              <w:t>14%</w:t>
            </w:r>
          </w:p>
        </w:tc>
      </w:tr>
      <w:tr w:rsidR="001702AE" w:rsidRPr="00991953" w14:paraId="50B6C1A7"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4629ED7" w14:textId="77777777" w:rsidR="001702AE" w:rsidRPr="00991953" w:rsidRDefault="001702AE" w:rsidP="006B54C7">
            <w:pPr>
              <w:rPr>
                <w:rFonts w:cstheme="minorHAnsi"/>
                <w:sz w:val="20"/>
                <w:szCs w:val="20"/>
              </w:rPr>
            </w:pPr>
            <w:r w:rsidRPr="00991953">
              <w:rPr>
                <w:rFonts w:cstheme="minorHAnsi"/>
                <w:sz w:val="20"/>
                <w:szCs w:val="20"/>
              </w:rPr>
              <w:t>30-34</w:t>
            </w:r>
          </w:p>
        </w:tc>
        <w:tc>
          <w:tcPr>
            <w:tcW w:w="1520" w:type="dxa"/>
            <w:noWrap/>
          </w:tcPr>
          <w:p w14:paraId="16747327"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18</w:t>
            </w:r>
          </w:p>
        </w:tc>
        <w:tc>
          <w:tcPr>
            <w:tcW w:w="1520" w:type="dxa"/>
            <w:noWrap/>
          </w:tcPr>
          <w:p w14:paraId="0C7258DE"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19%</w:t>
            </w:r>
          </w:p>
        </w:tc>
        <w:tc>
          <w:tcPr>
            <w:tcW w:w="1520" w:type="dxa"/>
          </w:tcPr>
          <w:p w14:paraId="19C7EAE2"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19</w:t>
            </w:r>
          </w:p>
        </w:tc>
        <w:tc>
          <w:tcPr>
            <w:tcW w:w="1520" w:type="dxa"/>
          </w:tcPr>
          <w:p w14:paraId="258A965A"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91953">
              <w:rPr>
                <w:rFonts w:cstheme="minorHAnsi"/>
                <w:sz w:val="20"/>
                <w:szCs w:val="20"/>
              </w:rPr>
              <w:t>11%</w:t>
            </w:r>
          </w:p>
        </w:tc>
      </w:tr>
      <w:tr w:rsidR="001702AE" w:rsidRPr="00991953" w14:paraId="091CF2B4"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2FFE09" w14:textId="77777777" w:rsidR="001702AE" w:rsidRPr="00991953" w:rsidRDefault="001702AE" w:rsidP="006B54C7">
            <w:pPr>
              <w:rPr>
                <w:rFonts w:cstheme="minorHAnsi"/>
                <w:sz w:val="20"/>
                <w:szCs w:val="20"/>
              </w:rPr>
            </w:pPr>
            <w:r w:rsidRPr="00991953">
              <w:rPr>
                <w:rFonts w:cstheme="minorHAnsi"/>
                <w:sz w:val="20"/>
                <w:szCs w:val="20"/>
              </w:rPr>
              <w:t>35-39</w:t>
            </w:r>
          </w:p>
        </w:tc>
        <w:tc>
          <w:tcPr>
            <w:tcW w:w="1520" w:type="dxa"/>
            <w:noWrap/>
          </w:tcPr>
          <w:p w14:paraId="623154FE"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14</w:t>
            </w:r>
          </w:p>
        </w:tc>
        <w:tc>
          <w:tcPr>
            <w:tcW w:w="1520" w:type="dxa"/>
            <w:noWrap/>
          </w:tcPr>
          <w:p w14:paraId="1996772E"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15%</w:t>
            </w:r>
          </w:p>
        </w:tc>
        <w:tc>
          <w:tcPr>
            <w:tcW w:w="1520" w:type="dxa"/>
          </w:tcPr>
          <w:p w14:paraId="3C66F08F"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18</w:t>
            </w:r>
          </w:p>
        </w:tc>
        <w:tc>
          <w:tcPr>
            <w:tcW w:w="1520" w:type="dxa"/>
          </w:tcPr>
          <w:p w14:paraId="5427776A"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1953">
              <w:rPr>
                <w:rFonts w:cstheme="minorHAnsi"/>
                <w:sz w:val="20"/>
                <w:szCs w:val="20"/>
              </w:rPr>
              <w:t>10%</w:t>
            </w:r>
          </w:p>
        </w:tc>
      </w:tr>
      <w:tr w:rsidR="001702AE" w:rsidRPr="00991953" w14:paraId="1362CA25"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97AB06" w14:textId="77777777" w:rsidR="001702AE" w:rsidRPr="00991953" w:rsidRDefault="001702AE" w:rsidP="006B54C7">
            <w:pPr>
              <w:rPr>
                <w:rFonts w:cstheme="minorHAnsi"/>
                <w:sz w:val="20"/>
                <w:szCs w:val="20"/>
              </w:rPr>
            </w:pPr>
            <w:r w:rsidRPr="00991953">
              <w:rPr>
                <w:rFonts w:cstheme="minorHAnsi"/>
                <w:sz w:val="20"/>
                <w:szCs w:val="20"/>
              </w:rPr>
              <w:t>40-44</w:t>
            </w:r>
          </w:p>
        </w:tc>
        <w:tc>
          <w:tcPr>
            <w:tcW w:w="1520" w:type="dxa"/>
            <w:noWrap/>
          </w:tcPr>
          <w:p w14:paraId="7388D187"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8</w:t>
            </w:r>
          </w:p>
        </w:tc>
        <w:tc>
          <w:tcPr>
            <w:tcW w:w="1520" w:type="dxa"/>
            <w:noWrap/>
          </w:tcPr>
          <w:p w14:paraId="62DB2BC4"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9</w:t>
            </w:r>
            <w:r w:rsidRPr="00991953">
              <w:rPr>
                <w:rFonts w:cstheme="minorHAnsi"/>
                <w:color w:val="000000"/>
                <w:sz w:val="20"/>
                <w:szCs w:val="20"/>
              </w:rPr>
              <w:t>%</w:t>
            </w:r>
          </w:p>
        </w:tc>
        <w:tc>
          <w:tcPr>
            <w:tcW w:w="1520" w:type="dxa"/>
          </w:tcPr>
          <w:p w14:paraId="0D2AE4A2"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19</w:t>
            </w:r>
          </w:p>
        </w:tc>
        <w:tc>
          <w:tcPr>
            <w:tcW w:w="1520" w:type="dxa"/>
          </w:tcPr>
          <w:p w14:paraId="4191D9F1"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91953">
              <w:rPr>
                <w:rFonts w:cstheme="minorHAnsi"/>
                <w:sz w:val="20"/>
                <w:szCs w:val="20"/>
              </w:rPr>
              <w:t>11%</w:t>
            </w:r>
          </w:p>
        </w:tc>
      </w:tr>
      <w:tr w:rsidR="001702AE" w:rsidRPr="00991953" w14:paraId="4A0FB961"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F1ADE1" w14:textId="77777777" w:rsidR="001702AE" w:rsidRPr="00991953" w:rsidRDefault="001702AE" w:rsidP="006B54C7">
            <w:pPr>
              <w:rPr>
                <w:rFonts w:cstheme="minorHAnsi"/>
                <w:sz w:val="20"/>
                <w:szCs w:val="20"/>
              </w:rPr>
            </w:pPr>
            <w:r w:rsidRPr="00991953">
              <w:rPr>
                <w:rFonts w:cstheme="minorHAnsi"/>
                <w:sz w:val="20"/>
                <w:szCs w:val="20"/>
              </w:rPr>
              <w:t>45-49</w:t>
            </w:r>
          </w:p>
        </w:tc>
        <w:tc>
          <w:tcPr>
            <w:tcW w:w="1520" w:type="dxa"/>
            <w:noWrap/>
          </w:tcPr>
          <w:p w14:paraId="05A872AC"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7</w:t>
            </w:r>
          </w:p>
        </w:tc>
        <w:tc>
          <w:tcPr>
            <w:tcW w:w="1520" w:type="dxa"/>
            <w:noWrap/>
          </w:tcPr>
          <w:p w14:paraId="2A43F379"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7</w:t>
            </w:r>
            <w:r w:rsidRPr="00991953">
              <w:rPr>
                <w:rFonts w:cstheme="minorHAnsi"/>
                <w:color w:val="000000"/>
                <w:sz w:val="20"/>
                <w:szCs w:val="20"/>
              </w:rPr>
              <w:t>%</w:t>
            </w:r>
          </w:p>
        </w:tc>
        <w:tc>
          <w:tcPr>
            <w:tcW w:w="1520" w:type="dxa"/>
          </w:tcPr>
          <w:p w14:paraId="0BE02B46"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25</w:t>
            </w:r>
          </w:p>
        </w:tc>
        <w:tc>
          <w:tcPr>
            <w:tcW w:w="1520" w:type="dxa"/>
          </w:tcPr>
          <w:p w14:paraId="31E8C664"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1953">
              <w:rPr>
                <w:rFonts w:cstheme="minorHAnsi"/>
                <w:sz w:val="20"/>
                <w:szCs w:val="20"/>
              </w:rPr>
              <w:t>14%</w:t>
            </w:r>
          </w:p>
        </w:tc>
      </w:tr>
      <w:tr w:rsidR="001702AE" w:rsidRPr="00991953" w14:paraId="296DEA13"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4789EA" w14:textId="77777777" w:rsidR="001702AE" w:rsidRPr="00991953" w:rsidRDefault="001702AE" w:rsidP="006B54C7">
            <w:pPr>
              <w:rPr>
                <w:rFonts w:cstheme="minorHAnsi"/>
                <w:sz w:val="20"/>
                <w:szCs w:val="20"/>
              </w:rPr>
            </w:pPr>
            <w:r w:rsidRPr="00991953">
              <w:rPr>
                <w:rFonts w:cstheme="minorHAnsi"/>
                <w:sz w:val="20"/>
                <w:szCs w:val="20"/>
              </w:rPr>
              <w:t>50-54</w:t>
            </w:r>
          </w:p>
        </w:tc>
        <w:tc>
          <w:tcPr>
            <w:tcW w:w="1520" w:type="dxa"/>
            <w:noWrap/>
          </w:tcPr>
          <w:p w14:paraId="4B82C161"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10</w:t>
            </w:r>
          </w:p>
        </w:tc>
        <w:tc>
          <w:tcPr>
            <w:tcW w:w="1520" w:type="dxa"/>
            <w:noWrap/>
          </w:tcPr>
          <w:p w14:paraId="72418B3D"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11%</w:t>
            </w:r>
          </w:p>
        </w:tc>
        <w:tc>
          <w:tcPr>
            <w:tcW w:w="1520" w:type="dxa"/>
          </w:tcPr>
          <w:p w14:paraId="57879DAB"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12</w:t>
            </w:r>
          </w:p>
        </w:tc>
        <w:tc>
          <w:tcPr>
            <w:tcW w:w="1520" w:type="dxa"/>
          </w:tcPr>
          <w:p w14:paraId="08B8825D"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91953">
              <w:rPr>
                <w:rFonts w:cstheme="minorHAnsi"/>
                <w:sz w:val="20"/>
                <w:szCs w:val="20"/>
              </w:rPr>
              <w:t>7%</w:t>
            </w:r>
          </w:p>
        </w:tc>
      </w:tr>
      <w:tr w:rsidR="001702AE" w:rsidRPr="00991953" w14:paraId="09FF6E34"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B9AEE5" w14:textId="77777777" w:rsidR="001702AE" w:rsidRPr="00991953" w:rsidRDefault="001702AE" w:rsidP="006B54C7">
            <w:pPr>
              <w:rPr>
                <w:rFonts w:cstheme="minorHAnsi"/>
                <w:sz w:val="20"/>
                <w:szCs w:val="20"/>
              </w:rPr>
            </w:pPr>
            <w:r w:rsidRPr="00991953">
              <w:rPr>
                <w:rFonts w:cstheme="minorHAnsi"/>
                <w:sz w:val="20"/>
                <w:szCs w:val="20"/>
              </w:rPr>
              <w:t>55-59</w:t>
            </w:r>
          </w:p>
        </w:tc>
        <w:tc>
          <w:tcPr>
            <w:tcW w:w="1520" w:type="dxa"/>
            <w:noWrap/>
          </w:tcPr>
          <w:p w14:paraId="067778C9"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2</w:t>
            </w:r>
          </w:p>
        </w:tc>
        <w:tc>
          <w:tcPr>
            <w:tcW w:w="1520" w:type="dxa"/>
            <w:noWrap/>
          </w:tcPr>
          <w:p w14:paraId="30617895"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2%</w:t>
            </w:r>
          </w:p>
        </w:tc>
        <w:tc>
          <w:tcPr>
            <w:tcW w:w="1520" w:type="dxa"/>
          </w:tcPr>
          <w:p w14:paraId="265BC37F"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15</w:t>
            </w:r>
          </w:p>
        </w:tc>
        <w:tc>
          <w:tcPr>
            <w:tcW w:w="1520" w:type="dxa"/>
          </w:tcPr>
          <w:p w14:paraId="2967B109"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1953">
              <w:rPr>
                <w:rFonts w:cstheme="minorHAnsi"/>
                <w:sz w:val="20"/>
                <w:szCs w:val="20"/>
              </w:rPr>
              <w:t>9%</w:t>
            </w:r>
          </w:p>
        </w:tc>
      </w:tr>
      <w:tr w:rsidR="001702AE" w:rsidRPr="00991953" w14:paraId="22532FD4"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3382C1" w14:textId="77777777" w:rsidR="001702AE" w:rsidRPr="00991953" w:rsidRDefault="001702AE" w:rsidP="006B54C7">
            <w:pPr>
              <w:rPr>
                <w:rFonts w:cstheme="minorHAnsi"/>
                <w:sz w:val="20"/>
                <w:szCs w:val="20"/>
              </w:rPr>
            </w:pPr>
            <w:r w:rsidRPr="00991953">
              <w:rPr>
                <w:rFonts w:cstheme="minorHAnsi"/>
                <w:sz w:val="20"/>
                <w:szCs w:val="20"/>
              </w:rPr>
              <w:t>60-64</w:t>
            </w:r>
          </w:p>
        </w:tc>
        <w:tc>
          <w:tcPr>
            <w:tcW w:w="1520" w:type="dxa"/>
            <w:noWrap/>
          </w:tcPr>
          <w:p w14:paraId="7E2BF2FC"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4</w:t>
            </w:r>
          </w:p>
        </w:tc>
        <w:tc>
          <w:tcPr>
            <w:tcW w:w="1520" w:type="dxa"/>
            <w:noWrap/>
          </w:tcPr>
          <w:p w14:paraId="7715BBAF"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4%</w:t>
            </w:r>
          </w:p>
        </w:tc>
        <w:tc>
          <w:tcPr>
            <w:tcW w:w="1520" w:type="dxa"/>
          </w:tcPr>
          <w:p w14:paraId="17CE1872"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13</w:t>
            </w:r>
          </w:p>
        </w:tc>
        <w:tc>
          <w:tcPr>
            <w:tcW w:w="1520" w:type="dxa"/>
          </w:tcPr>
          <w:p w14:paraId="588C883B"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91953">
              <w:rPr>
                <w:rFonts w:cstheme="minorHAnsi"/>
                <w:sz w:val="20"/>
                <w:szCs w:val="20"/>
              </w:rPr>
              <w:t>7%</w:t>
            </w:r>
          </w:p>
        </w:tc>
      </w:tr>
      <w:tr w:rsidR="001702AE" w:rsidRPr="00991953" w14:paraId="31DBAEB9"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5E9D2C" w14:textId="77777777" w:rsidR="001702AE" w:rsidRPr="00991953" w:rsidRDefault="001702AE" w:rsidP="006B54C7">
            <w:pPr>
              <w:rPr>
                <w:rFonts w:cstheme="minorHAnsi"/>
                <w:sz w:val="20"/>
                <w:szCs w:val="20"/>
              </w:rPr>
            </w:pPr>
            <w:r w:rsidRPr="00991953">
              <w:rPr>
                <w:rFonts w:cstheme="minorHAnsi"/>
                <w:sz w:val="20"/>
                <w:szCs w:val="20"/>
              </w:rPr>
              <w:t>65-69</w:t>
            </w:r>
          </w:p>
        </w:tc>
        <w:tc>
          <w:tcPr>
            <w:tcW w:w="1520" w:type="dxa"/>
            <w:noWrap/>
          </w:tcPr>
          <w:p w14:paraId="04C093EE"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w:t>
            </w:r>
          </w:p>
        </w:tc>
        <w:tc>
          <w:tcPr>
            <w:tcW w:w="1520" w:type="dxa"/>
            <w:noWrap/>
          </w:tcPr>
          <w:p w14:paraId="6AF7B726"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1%</w:t>
            </w:r>
          </w:p>
        </w:tc>
        <w:tc>
          <w:tcPr>
            <w:tcW w:w="1520" w:type="dxa"/>
          </w:tcPr>
          <w:p w14:paraId="3C3A14A8"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9</w:t>
            </w:r>
          </w:p>
        </w:tc>
        <w:tc>
          <w:tcPr>
            <w:tcW w:w="1520" w:type="dxa"/>
          </w:tcPr>
          <w:p w14:paraId="1B374195"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1953">
              <w:rPr>
                <w:rFonts w:cstheme="minorHAnsi"/>
                <w:sz w:val="20"/>
                <w:szCs w:val="20"/>
              </w:rPr>
              <w:t>5%</w:t>
            </w:r>
          </w:p>
        </w:tc>
      </w:tr>
      <w:tr w:rsidR="001702AE" w:rsidRPr="00991953" w14:paraId="707C603B"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CAAE85" w14:textId="77777777" w:rsidR="001702AE" w:rsidRPr="00991953" w:rsidRDefault="001702AE" w:rsidP="006B54C7">
            <w:pPr>
              <w:rPr>
                <w:rFonts w:cstheme="minorHAnsi"/>
                <w:sz w:val="20"/>
                <w:szCs w:val="20"/>
              </w:rPr>
            </w:pPr>
            <w:r w:rsidRPr="00991953">
              <w:rPr>
                <w:rFonts w:cstheme="minorHAnsi"/>
                <w:sz w:val="20"/>
                <w:szCs w:val="20"/>
              </w:rPr>
              <w:t>70-74</w:t>
            </w:r>
          </w:p>
        </w:tc>
        <w:tc>
          <w:tcPr>
            <w:tcW w:w="1520" w:type="dxa"/>
            <w:noWrap/>
          </w:tcPr>
          <w:p w14:paraId="219610D1"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0</w:t>
            </w:r>
          </w:p>
        </w:tc>
        <w:tc>
          <w:tcPr>
            <w:tcW w:w="1520" w:type="dxa"/>
            <w:noWrap/>
          </w:tcPr>
          <w:p w14:paraId="150FD601"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0%</w:t>
            </w:r>
          </w:p>
        </w:tc>
        <w:tc>
          <w:tcPr>
            <w:tcW w:w="1520" w:type="dxa"/>
          </w:tcPr>
          <w:p w14:paraId="1B91A10F"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3</w:t>
            </w:r>
          </w:p>
        </w:tc>
        <w:tc>
          <w:tcPr>
            <w:tcW w:w="1520" w:type="dxa"/>
          </w:tcPr>
          <w:p w14:paraId="3CDC74DF"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91953">
              <w:rPr>
                <w:rFonts w:cstheme="minorHAnsi"/>
                <w:sz w:val="20"/>
                <w:szCs w:val="20"/>
              </w:rPr>
              <w:t>2%</w:t>
            </w:r>
          </w:p>
        </w:tc>
      </w:tr>
      <w:tr w:rsidR="001702AE" w:rsidRPr="00991953" w14:paraId="1C4DA563"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noWrap/>
          </w:tcPr>
          <w:p w14:paraId="6E84B3BD" w14:textId="77777777" w:rsidR="001702AE" w:rsidRPr="00991953" w:rsidRDefault="001702AE" w:rsidP="006B54C7">
            <w:pPr>
              <w:rPr>
                <w:rFonts w:cstheme="minorHAnsi"/>
                <w:sz w:val="20"/>
                <w:szCs w:val="20"/>
              </w:rPr>
            </w:pPr>
            <w:r w:rsidRPr="00991953">
              <w:rPr>
                <w:rFonts w:cstheme="minorHAnsi"/>
                <w:sz w:val="20"/>
                <w:szCs w:val="20"/>
              </w:rPr>
              <w:t>75 +</w:t>
            </w:r>
          </w:p>
        </w:tc>
        <w:tc>
          <w:tcPr>
            <w:tcW w:w="1520" w:type="dxa"/>
            <w:noWrap/>
          </w:tcPr>
          <w:p w14:paraId="73F040AF"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0</w:t>
            </w:r>
          </w:p>
        </w:tc>
        <w:tc>
          <w:tcPr>
            <w:tcW w:w="1520" w:type="dxa"/>
            <w:noWrap/>
          </w:tcPr>
          <w:p w14:paraId="62EE707C"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0%</w:t>
            </w:r>
          </w:p>
        </w:tc>
        <w:tc>
          <w:tcPr>
            <w:tcW w:w="1520" w:type="dxa"/>
          </w:tcPr>
          <w:p w14:paraId="705E2913"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color w:val="000000"/>
                <w:sz w:val="20"/>
                <w:szCs w:val="20"/>
              </w:rPr>
              <w:t>7</w:t>
            </w:r>
          </w:p>
        </w:tc>
        <w:tc>
          <w:tcPr>
            <w:tcW w:w="1520" w:type="dxa"/>
          </w:tcPr>
          <w:p w14:paraId="675AAA8C"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1953">
              <w:rPr>
                <w:rFonts w:cstheme="minorHAnsi"/>
                <w:sz w:val="20"/>
                <w:szCs w:val="20"/>
              </w:rPr>
              <w:t>4%</w:t>
            </w:r>
          </w:p>
        </w:tc>
      </w:tr>
      <w:tr w:rsidR="001702AE" w:rsidRPr="00991953" w14:paraId="24BA4E27"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noWrap/>
          </w:tcPr>
          <w:p w14:paraId="69CE8959" w14:textId="77777777" w:rsidR="001702AE" w:rsidRPr="00991953" w:rsidRDefault="001702AE" w:rsidP="006B54C7">
            <w:pPr>
              <w:rPr>
                <w:rFonts w:cstheme="minorHAnsi"/>
                <w:sz w:val="20"/>
                <w:szCs w:val="20"/>
              </w:rPr>
            </w:pPr>
            <w:r w:rsidRPr="00991953">
              <w:rPr>
                <w:rFonts w:cstheme="minorHAnsi"/>
                <w:i/>
                <w:sz w:val="20"/>
                <w:szCs w:val="20"/>
              </w:rPr>
              <w:t>Aged 60 years and over</w:t>
            </w:r>
          </w:p>
        </w:tc>
        <w:tc>
          <w:tcPr>
            <w:tcW w:w="1520" w:type="dxa"/>
            <w:noWrap/>
          </w:tcPr>
          <w:p w14:paraId="337818FD"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i/>
                <w:color w:val="000000"/>
                <w:sz w:val="20"/>
                <w:szCs w:val="20"/>
              </w:rPr>
              <w:t>5</w:t>
            </w:r>
          </w:p>
        </w:tc>
        <w:tc>
          <w:tcPr>
            <w:tcW w:w="1520" w:type="dxa"/>
            <w:noWrap/>
          </w:tcPr>
          <w:p w14:paraId="21636CD7"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i/>
                <w:color w:val="000000"/>
                <w:sz w:val="20"/>
                <w:szCs w:val="20"/>
              </w:rPr>
              <w:t>5%</w:t>
            </w:r>
          </w:p>
        </w:tc>
        <w:tc>
          <w:tcPr>
            <w:tcW w:w="1520" w:type="dxa"/>
          </w:tcPr>
          <w:p w14:paraId="7E534027"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1953">
              <w:rPr>
                <w:rFonts w:cstheme="minorHAnsi"/>
                <w:i/>
                <w:color w:val="000000"/>
                <w:sz w:val="20"/>
                <w:szCs w:val="20"/>
              </w:rPr>
              <w:t>32</w:t>
            </w:r>
          </w:p>
        </w:tc>
        <w:tc>
          <w:tcPr>
            <w:tcW w:w="1520" w:type="dxa"/>
          </w:tcPr>
          <w:p w14:paraId="5AD12661"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w:t>
            </w:r>
          </w:p>
        </w:tc>
      </w:tr>
      <w:tr w:rsidR="001702AE" w:rsidRPr="00991953" w14:paraId="04B94F22"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shd w:val="clear" w:color="auto" w:fill="E6E3D9"/>
            <w:noWrap/>
          </w:tcPr>
          <w:p w14:paraId="1A54EBC3" w14:textId="77777777" w:rsidR="001702AE" w:rsidRPr="003846E7" w:rsidRDefault="001702AE" w:rsidP="006B54C7">
            <w:pPr>
              <w:rPr>
                <w:rFonts w:cstheme="minorHAnsi"/>
                <w:i/>
                <w:sz w:val="20"/>
                <w:szCs w:val="20"/>
              </w:rPr>
            </w:pPr>
            <w:r w:rsidRPr="003846E7">
              <w:rPr>
                <w:rFonts w:cstheme="minorHAnsi"/>
                <w:sz w:val="20"/>
                <w:szCs w:val="20"/>
              </w:rPr>
              <w:t>Subtotal</w:t>
            </w:r>
          </w:p>
        </w:tc>
        <w:tc>
          <w:tcPr>
            <w:tcW w:w="1520" w:type="dxa"/>
            <w:shd w:val="clear" w:color="auto" w:fill="E6E3D9"/>
            <w:noWrap/>
          </w:tcPr>
          <w:p w14:paraId="46E55727"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991953">
              <w:rPr>
                <w:rFonts w:cstheme="minorHAnsi"/>
                <w:b/>
                <w:color w:val="000000"/>
                <w:sz w:val="20"/>
                <w:szCs w:val="20"/>
              </w:rPr>
              <w:t>94</w:t>
            </w:r>
          </w:p>
        </w:tc>
        <w:tc>
          <w:tcPr>
            <w:tcW w:w="1520" w:type="dxa"/>
            <w:shd w:val="clear" w:color="auto" w:fill="E6E3D9"/>
            <w:noWrap/>
          </w:tcPr>
          <w:p w14:paraId="674D5FA9"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991953">
              <w:rPr>
                <w:rFonts w:cstheme="minorHAnsi"/>
                <w:b/>
                <w:color w:val="000000"/>
                <w:sz w:val="20"/>
                <w:szCs w:val="20"/>
              </w:rPr>
              <w:t>100%</w:t>
            </w:r>
          </w:p>
        </w:tc>
        <w:tc>
          <w:tcPr>
            <w:tcW w:w="1520" w:type="dxa"/>
            <w:shd w:val="clear" w:color="auto" w:fill="E6E3D9"/>
          </w:tcPr>
          <w:p w14:paraId="1E5BD733"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991953">
              <w:rPr>
                <w:rFonts w:cstheme="minorHAnsi"/>
                <w:b/>
                <w:color w:val="000000"/>
                <w:sz w:val="20"/>
                <w:szCs w:val="20"/>
              </w:rPr>
              <w:t>176</w:t>
            </w:r>
          </w:p>
        </w:tc>
        <w:tc>
          <w:tcPr>
            <w:tcW w:w="1520" w:type="dxa"/>
            <w:shd w:val="clear" w:color="auto" w:fill="E6E3D9"/>
          </w:tcPr>
          <w:p w14:paraId="445B7C38"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991953">
              <w:rPr>
                <w:rFonts w:cstheme="minorHAnsi"/>
                <w:b/>
                <w:sz w:val="20"/>
                <w:szCs w:val="20"/>
              </w:rPr>
              <w:t>100%</w:t>
            </w:r>
          </w:p>
        </w:tc>
      </w:tr>
      <w:tr w:rsidR="001702AE" w:rsidRPr="00991953" w14:paraId="67F60108" w14:textId="77777777" w:rsidTr="006B54C7">
        <w:trPr>
          <w:trHeight w:val="345"/>
        </w:trPr>
        <w:tc>
          <w:tcPr>
            <w:cnfStyle w:val="001000000000" w:firstRow="0" w:lastRow="0" w:firstColumn="1" w:lastColumn="0" w:oddVBand="0" w:evenVBand="0" w:oddHBand="0" w:evenHBand="0" w:firstRowFirstColumn="0" w:firstRowLastColumn="0" w:lastRowFirstColumn="0" w:lastRowLastColumn="0"/>
            <w:tcW w:w="3261" w:type="dxa"/>
            <w:shd w:val="clear" w:color="auto" w:fill="E6E3D9"/>
            <w:noWrap/>
          </w:tcPr>
          <w:p w14:paraId="541D7636" w14:textId="77777777" w:rsidR="001702AE" w:rsidRPr="003846E7" w:rsidRDefault="001702AE" w:rsidP="006B54C7">
            <w:pPr>
              <w:rPr>
                <w:rFonts w:cstheme="minorHAnsi"/>
                <w:b w:val="0"/>
                <w:sz w:val="20"/>
                <w:szCs w:val="20"/>
              </w:rPr>
            </w:pPr>
            <w:r w:rsidRPr="003846E7">
              <w:rPr>
                <w:rFonts w:cstheme="minorHAnsi"/>
                <w:b w:val="0"/>
                <w:sz w:val="20"/>
                <w:szCs w:val="20"/>
              </w:rPr>
              <w:t xml:space="preserve">Unknown </w:t>
            </w:r>
          </w:p>
        </w:tc>
        <w:tc>
          <w:tcPr>
            <w:tcW w:w="1520" w:type="dxa"/>
            <w:shd w:val="clear" w:color="auto" w:fill="E6E3D9"/>
            <w:noWrap/>
          </w:tcPr>
          <w:p w14:paraId="094CCB90"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rPr>
            </w:pPr>
            <w:r w:rsidRPr="00991953">
              <w:rPr>
                <w:rFonts w:cstheme="minorHAnsi"/>
                <w:color w:val="000000"/>
                <w:sz w:val="20"/>
                <w:szCs w:val="20"/>
              </w:rPr>
              <w:t>0</w:t>
            </w:r>
          </w:p>
        </w:tc>
        <w:tc>
          <w:tcPr>
            <w:tcW w:w="1520" w:type="dxa"/>
            <w:shd w:val="clear" w:color="auto" w:fill="E6E3D9"/>
            <w:noWrap/>
          </w:tcPr>
          <w:p w14:paraId="622A13E6"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rPr>
            </w:pPr>
          </w:p>
        </w:tc>
        <w:tc>
          <w:tcPr>
            <w:tcW w:w="1520" w:type="dxa"/>
            <w:shd w:val="clear" w:color="auto" w:fill="E6E3D9"/>
          </w:tcPr>
          <w:p w14:paraId="034A4E6D"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rPr>
            </w:pPr>
            <w:r w:rsidRPr="00991953">
              <w:rPr>
                <w:rFonts w:cstheme="minorHAnsi"/>
                <w:color w:val="000000"/>
                <w:sz w:val="20"/>
                <w:szCs w:val="20"/>
              </w:rPr>
              <w:t>3</w:t>
            </w:r>
          </w:p>
        </w:tc>
        <w:tc>
          <w:tcPr>
            <w:tcW w:w="1520" w:type="dxa"/>
            <w:shd w:val="clear" w:color="auto" w:fill="E6E3D9"/>
          </w:tcPr>
          <w:p w14:paraId="54AF6657" w14:textId="77777777" w:rsidR="001702AE" w:rsidRPr="00991953" w:rsidRDefault="001702AE" w:rsidP="006B54C7">
            <w:pPr>
              <w:ind w:right="480"/>
              <w:jc w:val="right"/>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1702AE" w:rsidRPr="0093318B" w14:paraId="42BC98C8" w14:textId="77777777" w:rsidTr="006B54C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shd w:val="clear" w:color="auto" w:fill="E6E3D9"/>
            <w:noWrap/>
          </w:tcPr>
          <w:p w14:paraId="63927030" w14:textId="77777777" w:rsidR="001702AE" w:rsidRPr="003846E7" w:rsidRDefault="001702AE" w:rsidP="006B54C7">
            <w:pPr>
              <w:rPr>
                <w:rFonts w:cstheme="minorHAnsi"/>
                <w:sz w:val="20"/>
                <w:szCs w:val="20"/>
              </w:rPr>
            </w:pPr>
            <w:r w:rsidRPr="003846E7">
              <w:rPr>
                <w:rFonts w:cstheme="minorHAnsi"/>
                <w:sz w:val="20"/>
                <w:szCs w:val="20"/>
              </w:rPr>
              <w:t>TOTAL</w:t>
            </w:r>
          </w:p>
        </w:tc>
        <w:tc>
          <w:tcPr>
            <w:tcW w:w="1520" w:type="dxa"/>
            <w:shd w:val="clear" w:color="auto" w:fill="E6E3D9"/>
            <w:noWrap/>
          </w:tcPr>
          <w:p w14:paraId="03E6CAF1"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b/>
                <w:color w:val="000000"/>
                <w:sz w:val="20"/>
                <w:szCs w:val="20"/>
              </w:rPr>
              <w:t>94</w:t>
            </w:r>
          </w:p>
        </w:tc>
        <w:tc>
          <w:tcPr>
            <w:tcW w:w="1520" w:type="dxa"/>
            <w:shd w:val="clear" w:color="auto" w:fill="E6E3D9"/>
            <w:noWrap/>
          </w:tcPr>
          <w:p w14:paraId="4804296F"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520" w:type="dxa"/>
            <w:shd w:val="clear" w:color="auto" w:fill="E6E3D9"/>
          </w:tcPr>
          <w:p w14:paraId="62B675C4"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91953">
              <w:rPr>
                <w:rFonts w:cstheme="minorHAnsi"/>
                <w:b/>
                <w:color w:val="000000"/>
                <w:sz w:val="20"/>
                <w:szCs w:val="20"/>
              </w:rPr>
              <w:t>179</w:t>
            </w:r>
          </w:p>
        </w:tc>
        <w:tc>
          <w:tcPr>
            <w:tcW w:w="1520" w:type="dxa"/>
            <w:shd w:val="clear" w:color="auto" w:fill="E6E3D9"/>
          </w:tcPr>
          <w:p w14:paraId="0CD0D65E" w14:textId="77777777" w:rsidR="001702AE" w:rsidRPr="00991953" w:rsidRDefault="001702AE" w:rsidP="006B54C7">
            <w:pPr>
              <w:ind w:right="480"/>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bl>
    <w:p w14:paraId="583E192E" w14:textId="77777777" w:rsidR="001702AE" w:rsidRDefault="001702AE" w:rsidP="006B54C7">
      <w:pPr>
        <w:spacing w:before="360" w:after="0"/>
        <w:rPr>
          <w:i/>
          <w:color w:val="2F5496" w:themeColor="accent1" w:themeShade="BF"/>
        </w:rPr>
      </w:pPr>
    </w:p>
    <w:p w14:paraId="6158E275" w14:textId="77777777" w:rsidR="001702AE" w:rsidRDefault="001702AE">
      <w:pPr>
        <w:spacing w:before="0" w:after="0"/>
        <w:rPr>
          <w:i/>
          <w:color w:val="2F5496" w:themeColor="accent1" w:themeShade="BF"/>
        </w:rPr>
      </w:pPr>
      <w:r>
        <w:rPr>
          <w:i/>
          <w:color w:val="2F5496" w:themeColor="accent1" w:themeShade="BF"/>
        </w:rPr>
        <w:br w:type="page"/>
      </w:r>
    </w:p>
    <w:p w14:paraId="29F4A029" w14:textId="77777777" w:rsidR="001702AE" w:rsidRDefault="001702AE" w:rsidP="006B54C7">
      <w:pPr>
        <w:spacing w:before="360" w:after="0"/>
        <w:rPr>
          <w:i/>
          <w:color w:val="2F5496" w:themeColor="accent1" w:themeShade="BF"/>
        </w:rPr>
      </w:pPr>
      <w:r w:rsidRPr="006759CD">
        <w:rPr>
          <w:i/>
          <w:color w:val="2F5496" w:themeColor="accent1" w:themeShade="BF"/>
        </w:rPr>
        <w:lastRenderedPageBreak/>
        <w:t>Figure 2: Age profile of clients</w:t>
      </w:r>
      <w:r>
        <w:rPr>
          <w:i/>
          <w:color w:val="2F5496" w:themeColor="accent1" w:themeShade="BF"/>
        </w:rPr>
        <w:t xml:space="preserve"> </w:t>
      </w:r>
    </w:p>
    <w:p w14:paraId="28B10FD3" w14:textId="77777777" w:rsidR="001702AE" w:rsidRDefault="001702AE" w:rsidP="006B54C7">
      <w:pPr>
        <w:spacing w:before="240"/>
        <w:rPr>
          <w:i/>
          <w:color w:val="2F5496" w:themeColor="accent1" w:themeShade="BF"/>
        </w:rPr>
      </w:pPr>
      <w:r>
        <w:rPr>
          <w:noProof/>
        </w:rPr>
        <w:drawing>
          <wp:inline distT="0" distB="0" distL="0" distR="0" wp14:anchorId="08971BBE" wp14:editId="280FF296">
            <wp:extent cx="4572000" cy="2743200"/>
            <wp:effectExtent l="0" t="0" r="0" b="0"/>
            <wp:docPr id="40" name="Chart 40">
              <a:extLst xmlns:a="http://schemas.openxmlformats.org/drawingml/2006/main">
                <a:ext uri="{FF2B5EF4-FFF2-40B4-BE49-F238E27FC236}">
                  <a16:creationId xmlns:a16="http://schemas.microsoft.com/office/drawing/2014/main" id="{6FDDD7CB-6675-44A6-AC84-6BA8DB649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B8DDB5" w14:textId="77777777" w:rsidR="001702AE" w:rsidRPr="006759CD" w:rsidRDefault="001702AE" w:rsidP="006B54C7">
      <w:pPr>
        <w:spacing w:before="240"/>
        <w:rPr>
          <w:i/>
          <w:color w:val="2F5496" w:themeColor="accent1" w:themeShade="BF"/>
        </w:rPr>
      </w:pPr>
    </w:p>
    <w:p w14:paraId="6E1E2A3D" w14:textId="77777777" w:rsidR="001702AE" w:rsidRDefault="001702AE" w:rsidP="006B54C7">
      <w:pPr>
        <w:pStyle w:val="Heading2"/>
      </w:pPr>
      <w:bookmarkStart w:id="66" w:name="_Toc130396330"/>
      <w:bookmarkStart w:id="67" w:name="_Toc131232871"/>
      <w:r>
        <w:t>4.4 Country of birth and languages spoken</w:t>
      </w:r>
      <w:bookmarkEnd w:id="66"/>
      <w:bookmarkEnd w:id="67"/>
    </w:p>
    <w:p w14:paraId="16475CED" w14:textId="77777777" w:rsidR="001702AE" w:rsidRDefault="001702AE" w:rsidP="006B54C7">
      <w:pPr>
        <w:spacing w:after="240"/>
      </w:pPr>
      <w:r>
        <w:t>Almost all clients with BNPL debts were born in Australia (96%) and all spoke English. Similarly, for clients with no BNPL debts, almost all clients were born in Australia (92%), and all spoke English. These figures are higher than for the Tasmanian population, 79% of whom were born in Australia and 91% of whom speak English at home</w:t>
      </w:r>
      <w:r w:rsidRPr="00CE3F60">
        <w:t xml:space="preserve"> </w:t>
      </w:r>
      <w:r>
        <w:rPr>
          <w:noProof/>
        </w:rPr>
        <w:t>(ABS 2022b)</w:t>
      </w:r>
      <w:r>
        <w:t>.</w:t>
      </w:r>
    </w:p>
    <w:p w14:paraId="4AC49FD4" w14:textId="77777777" w:rsidR="001702AE" w:rsidRDefault="001702AE" w:rsidP="006B54C7">
      <w:pPr>
        <w:pStyle w:val="Heading2"/>
      </w:pPr>
      <w:bookmarkStart w:id="68" w:name="_Toc130396331"/>
      <w:bookmarkStart w:id="69" w:name="_Toc131232872"/>
      <w:r>
        <w:t>4.5 Aboriginal and/or Torres Strait Islander</w:t>
      </w:r>
      <w:bookmarkEnd w:id="68"/>
      <w:bookmarkEnd w:id="69"/>
    </w:p>
    <w:p w14:paraId="7434568A" w14:textId="77777777" w:rsidR="001702AE" w:rsidRDefault="001702AE" w:rsidP="006B54C7">
      <w:pPr>
        <w:spacing w:after="240"/>
      </w:pPr>
      <w:r>
        <w:t>Of clients with BNPL debts who answered this question</w:t>
      </w:r>
      <w:r w:rsidDel="004C526F">
        <w:t xml:space="preserve"> </w:t>
      </w:r>
      <w:r>
        <w:t xml:space="preserve">(n = 87), 20% identified as Aboriginal and/or Torres Strait Islander. For clients with no BNPL debts who answered this question (n = 171), 12% identified as Aboriginal and/or Torres Strait Islander. Both these figures were much higher than the figure for the Tasmanian population, 5.4% of whom identified as Aboriginal and/or Torres Strait Islander in 2021 </w:t>
      </w:r>
      <w:r>
        <w:rPr>
          <w:noProof/>
        </w:rPr>
        <w:t>(ABS 2022b)</w:t>
      </w:r>
      <w:r>
        <w:t xml:space="preserve">. </w:t>
      </w:r>
    </w:p>
    <w:p w14:paraId="16E8D3C3" w14:textId="77777777" w:rsidR="001702AE" w:rsidRPr="00A417AD" w:rsidRDefault="001702AE" w:rsidP="006B54C7">
      <w:pPr>
        <w:spacing w:after="240"/>
        <w:rPr>
          <w:b/>
          <w:bCs/>
        </w:rPr>
      </w:pPr>
      <w:r w:rsidRPr="00A417AD">
        <w:rPr>
          <w:b/>
          <w:bCs/>
        </w:rPr>
        <w:t xml:space="preserve">Clients with BNPL debts were approximately 1.5 times more likely to identify as Aboriginal and/or Torres Strait Islander than those with no BNPL debts. </w:t>
      </w:r>
    </w:p>
    <w:p w14:paraId="7D109B68" w14:textId="77777777" w:rsidR="001702AE" w:rsidRDefault="001702AE">
      <w:pPr>
        <w:spacing w:before="0" w:after="0"/>
        <w:rPr>
          <w:i/>
          <w:color w:val="2F5496" w:themeColor="accent1" w:themeShade="BF"/>
        </w:rPr>
      </w:pPr>
      <w:r>
        <w:rPr>
          <w:i/>
          <w:color w:val="2F5496" w:themeColor="accent1" w:themeShade="BF"/>
        </w:rPr>
        <w:br w:type="page"/>
      </w:r>
    </w:p>
    <w:p w14:paraId="0126CE22" w14:textId="77777777" w:rsidR="001702AE" w:rsidRPr="00570EAC" w:rsidRDefault="001702AE" w:rsidP="006B54C7">
      <w:pPr>
        <w:rPr>
          <w:sz w:val="28"/>
        </w:rPr>
      </w:pPr>
      <w:r w:rsidRPr="00570EAC">
        <w:rPr>
          <w:i/>
          <w:color w:val="2F5496" w:themeColor="accent1" w:themeShade="BF"/>
        </w:rPr>
        <w:lastRenderedPageBreak/>
        <w:t>Figure 3: Aboriginal and Torres Strait Islander identity of clients</w:t>
      </w:r>
    </w:p>
    <w:p w14:paraId="48BEB0D0" w14:textId="77777777" w:rsidR="001702AE" w:rsidRDefault="001702AE" w:rsidP="006B54C7">
      <w:pPr>
        <w:spacing w:after="240"/>
      </w:pPr>
      <w:r>
        <w:rPr>
          <w:noProof/>
        </w:rPr>
        <w:drawing>
          <wp:inline distT="0" distB="0" distL="0" distR="0" wp14:anchorId="06DA1E91" wp14:editId="78D34B62">
            <wp:extent cx="4565650" cy="2527300"/>
            <wp:effectExtent l="0" t="0" r="6350" b="6350"/>
            <wp:docPr id="36" name="Chart 36">
              <a:extLst xmlns:a="http://schemas.openxmlformats.org/drawingml/2006/main">
                <a:ext uri="{FF2B5EF4-FFF2-40B4-BE49-F238E27FC236}">
                  <a16:creationId xmlns:a16="http://schemas.microsoft.com/office/drawing/2014/main" id="{9FC78551-D920-4C45-9C9F-886AAD406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91F9D3" w14:textId="77777777" w:rsidR="001702AE" w:rsidRDefault="001702AE" w:rsidP="006B54C7">
      <w:pPr>
        <w:pStyle w:val="Heading2"/>
      </w:pPr>
      <w:bookmarkStart w:id="70" w:name="_Toc130396332"/>
      <w:bookmarkStart w:id="71" w:name="_Toc131232873"/>
      <w:r>
        <w:t>4.6 Educational attainment</w:t>
      </w:r>
      <w:bookmarkEnd w:id="70"/>
      <w:bookmarkEnd w:id="71"/>
    </w:p>
    <w:p w14:paraId="3929E5ED" w14:textId="43D9B731" w:rsidR="001702AE" w:rsidRDefault="001702AE" w:rsidP="006B54C7">
      <w:pPr>
        <w:spacing w:after="240"/>
      </w:pPr>
      <w:r w:rsidRPr="005F6BE0">
        <w:t xml:space="preserve">Low educational attainment is a risk factor for financial stress, </w:t>
      </w:r>
      <w:r>
        <w:t xml:space="preserve">due to an </w:t>
      </w:r>
      <w:r w:rsidRPr="005F6BE0">
        <w:t xml:space="preserve">association between educational attainment and </w:t>
      </w:r>
      <w:r>
        <w:t>income</w:t>
      </w:r>
      <w:r w:rsidRPr="0015082F">
        <w:t xml:space="preserve"> </w:t>
      </w:r>
      <w:r>
        <w:rPr>
          <w:noProof/>
        </w:rPr>
        <w:t>(Department of Education 2022)</w:t>
      </w:r>
      <w:r>
        <w:t>. For</w:t>
      </w:r>
      <w:r w:rsidRPr="005F6BE0">
        <w:t xml:space="preserve"> clients with BNPL debts who </w:t>
      </w:r>
      <w:r>
        <w:t>answered this question (n = 93), 67% nominated</w:t>
      </w:r>
      <w:r w:rsidRPr="005F6BE0">
        <w:t xml:space="preserve"> primary or secondary school </w:t>
      </w:r>
      <w:r>
        <w:t>as their highest level of educational attainment</w:t>
      </w:r>
      <w:r w:rsidRPr="005F6BE0">
        <w:t xml:space="preserve">. </w:t>
      </w:r>
      <w:r>
        <w:t>and only 4% had attained a Bachelor degree and above. Similarly, 60% of clients with no BNPL debts who answered this question (n = 172) attained primary or secondary school education, and 8% had a Bachelor degree and above. In comparison, in 2021</w:t>
      </w:r>
      <w:r w:rsidR="004866E0">
        <w:t>,</w:t>
      </w:r>
      <w:r w:rsidRPr="00851242">
        <w:t xml:space="preserve"> </w:t>
      </w:r>
      <w:r>
        <w:t xml:space="preserve">52% of the Tasmanian population aged 15 years and over had attained primary or secondary education as their highest level of education, and 22% had attained a Bachelor degree and above </w:t>
      </w:r>
      <w:r>
        <w:rPr>
          <w:noProof/>
        </w:rPr>
        <w:t>(ABS 2022a)</w:t>
      </w:r>
      <w:r>
        <w:t>.</w:t>
      </w:r>
    </w:p>
    <w:p w14:paraId="17667983" w14:textId="77777777" w:rsidR="001702AE" w:rsidRDefault="001702AE" w:rsidP="006B54C7">
      <w:pPr>
        <w:spacing w:after="240"/>
        <w:rPr>
          <w:rFonts w:asciiTheme="majorHAnsi" w:eastAsiaTheme="majorEastAsia" w:hAnsiTheme="majorHAnsi" w:cstheme="majorBidi"/>
          <w:b/>
          <w:color w:val="2F5496" w:themeColor="accent1" w:themeShade="BF"/>
          <w:szCs w:val="32"/>
        </w:rPr>
      </w:pPr>
    </w:p>
    <w:p w14:paraId="515043D9" w14:textId="77777777" w:rsidR="001702AE" w:rsidRDefault="001702AE">
      <w:pPr>
        <w:spacing w:before="0" w:after="0"/>
        <w:rPr>
          <w:rFonts w:ascii="Avenir Next Demi Bold" w:eastAsia="AvenirNextLTPro-Demi" w:hAnsi="Avenir Next Demi Bold" w:cs="AvenirNextLTPro-Demi"/>
          <w:b/>
          <w:bCs/>
          <w:color w:val="1598CB"/>
          <w:sz w:val="48"/>
          <w:szCs w:val="48"/>
        </w:rPr>
      </w:pPr>
      <w:bookmarkStart w:id="72" w:name="_Toc130396333"/>
      <w:r>
        <w:br w:type="page"/>
      </w:r>
    </w:p>
    <w:p w14:paraId="0F47AA96" w14:textId="77777777" w:rsidR="001702AE" w:rsidRDefault="001702AE" w:rsidP="006B54C7">
      <w:pPr>
        <w:pStyle w:val="Heading1"/>
      </w:pPr>
      <w:bookmarkStart w:id="73" w:name="_Toc131232874"/>
      <w:r>
        <w:lastRenderedPageBreak/>
        <w:t>5. Circumstances of clients: Financial counselling data</w:t>
      </w:r>
      <w:bookmarkEnd w:id="72"/>
      <w:bookmarkEnd w:id="73"/>
    </w:p>
    <w:p w14:paraId="4B67EC4C" w14:textId="77777777" w:rsidR="001702AE" w:rsidRDefault="001702AE" w:rsidP="006B54C7">
      <w:pPr>
        <w:pStyle w:val="Heading2"/>
      </w:pPr>
      <w:bookmarkStart w:id="74" w:name="_Toc131232875"/>
      <w:r>
        <w:t>Key findings</w:t>
      </w:r>
      <w:bookmarkEnd w:id="74"/>
    </w:p>
    <w:p w14:paraId="6CE0F51A" w14:textId="77777777" w:rsidR="001702AE" w:rsidRDefault="001702AE" w:rsidP="005D72F8">
      <w:pPr>
        <w:pStyle w:val="Bullets"/>
      </w:pPr>
      <w:r>
        <w:t>100% of clients with BNPL debts were classified as experiencing at least one type of social or economic disadvantage, compared to 83% of clients with no BNPL debts.</w:t>
      </w:r>
    </w:p>
    <w:p w14:paraId="0D27C9F4" w14:textId="77777777" w:rsidR="001702AE" w:rsidRPr="003070DA" w:rsidRDefault="001702AE" w:rsidP="005D72F8">
      <w:pPr>
        <w:pStyle w:val="Bullets"/>
      </w:pPr>
      <w:r>
        <w:t>40% of clients with BNPL debts were single parents to children under 18 years or dependent adult children, compared to 18% of clients with no BNPL debts.</w:t>
      </w:r>
    </w:p>
    <w:p w14:paraId="4A7B5182" w14:textId="2B1D4D99" w:rsidR="001702AE" w:rsidRPr="00F865C6" w:rsidRDefault="001702AE" w:rsidP="005D72F8">
      <w:pPr>
        <w:pStyle w:val="Bullets"/>
      </w:pPr>
      <w:r>
        <w:t>81%</w:t>
      </w:r>
      <w:r w:rsidR="004866E0">
        <w:t xml:space="preserve"> of</w:t>
      </w:r>
      <w:r>
        <w:t xml:space="preserve"> clients with BNPL debts received income support payments, compared to 48% of clients with no BNPL debts.</w:t>
      </w:r>
    </w:p>
    <w:p w14:paraId="77F2C715" w14:textId="77777777" w:rsidR="001702AE" w:rsidRDefault="001702AE" w:rsidP="005D72F8">
      <w:pPr>
        <w:pStyle w:val="Bullets"/>
      </w:pPr>
      <w:r>
        <w:t>More than 1 in 10 (14%) of clients with BNPL debts were homeless, which was similar to the figure for clients with no BNPL debts (9%).</w:t>
      </w:r>
    </w:p>
    <w:p w14:paraId="37CC6F2F" w14:textId="77777777" w:rsidR="001702AE" w:rsidRPr="00182101" w:rsidRDefault="001702AE" w:rsidP="005D72F8">
      <w:pPr>
        <w:pStyle w:val="Bullets"/>
      </w:pPr>
      <w:r>
        <w:t xml:space="preserve">For clients with BNPL debts, only 13% of clients fully owned or were buying their home, compared to 28% of clients with no BNPL debts. </w:t>
      </w:r>
    </w:p>
    <w:p w14:paraId="38D22FF9" w14:textId="77777777" w:rsidR="001702AE" w:rsidRDefault="001702AE" w:rsidP="005D72F8">
      <w:pPr>
        <w:pStyle w:val="Bullets"/>
      </w:pPr>
      <w:r>
        <w:t xml:space="preserve">21% of clients with BNPL debts were estimated to be victim survivors of </w:t>
      </w:r>
      <w:r w:rsidRPr="000112E1">
        <w:t>family violence</w:t>
      </w:r>
      <w:r>
        <w:t>, compared to 12% of clients with no BNPL debts</w:t>
      </w:r>
      <w:r w:rsidRPr="000112E1">
        <w:t>.</w:t>
      </w:r>
    </w:p>
    <w:p w14:paraId="72872B63" w14:textId="77777777" w:rsidR="001702AE" w:rsidRDefault="001702AE" w:rsidP="005D72F8">
      <w:pPr>
        <w:pStyle w:val="Bullets"/>
      </w:pPr>
      <w:r>
        <w:t>For clients with BNPL debts, 50% had either self-reported ‘psychiatric disability’ or mental illness or difficulties.</w:t>
      </w:r>
    </w:p>
    <w:p w14:paraId="46985D31" w14:textId="77777777" w:rsidR="001702AE" w:rsidRDefault="001702AE" w:rsidP="006B54C7">
      <w:pPr>
        <w:pStyle w:val="Heading2"/>
      </w:pPr>
      <w:bookmarkStart w:id="75" w:name="_Toc130396335"/>
      <w:bookmarkStart w:id="76" w:name="_Toc131232876"/>
      <w:r>
        <w:t>5.1 Primary Groups: an indicator of disadvantage</w:t>
      </w:r>
      <w:bookmarkEnd w:id="75"/>
      <w:bookmarkEnd w:id="76"/>
    </w:p>
    <w:p w14:paraId="5E3BEDC0" w14:textId="77777777" w:rsidR="001702AE" w:rsidRDefault="001702AE" w:rsidP="006B54C7">
      <w:pPr>
        <w:spacing w:after="240"/>
      </w:pPr>
      <w:r>
        <w:t>Financial Counsellors can classify each client to a Primary Group. This is a target group for financial counselling services which provides an indication of the pre-eminent social or economic disadvantage faced by a client. (See Table 2 below for these Primary Groups.)</w:t>
      </w:r>
      <w:r>
        <w:rPr>
          <w:rStyle w:val="FootnoteReference"/>
        </w:rPr>
        <w:footnoteReference w:id="7"/>
      </w:r>
    </w:p>
    <w:p w14:paraId="3C1CCD7F" w14:textId="77777777" w:rsidR="001702AE" w:rsidRDefault="001702AE" w:rsidP="006B54C7">
      <w:pPr>
        <w:spacing w:after="240"/>
      </w:pPr>
      <w:r>
        <w:t xml:space="preserve">A key difference between clients with BNPL debts and those with no BNPL debts is apparent in the category of ‘not applicable’. This category is used by Financial Counsellors when a client does not fit into a Primary Group. While none of the clients with BNPL debts were marked as ‘not applicable’, 17% of clients with no BNPL debts were categorised this way by Financial Counsellors (and it was the third most common category). As such, everyone with BNPL debts was classified as disadvantaged, compared to 83% of clients with no BNPL debts. </w:t>
      </w:r>
    </w:p>
    <w:p w14:paraId="38044672" w14:textId="77777777" w:rsidR="001702AE" w:rsidRDefault="001702AE" w:rsidP="006B54C7">
      <w:pPr>
        <w:rPr>
          <w:i/>
          <w:color w:val="2F5496" w:themeColor="accent1" w:themeShade="BF"/>
        </w:rPr>
      </w:pPr>
      <w:r>
        <w:rPr>
          <w:i/>
          <w:color w:val="2F5496" w:themeColor="accent1" w:themeShade="BF"/>
        </w:rPr>
        <w:br w:type="page"/>
      </w:r>
    </w:p>
    <w:p w14:paraId="170F5DEE" w14:textId="77777777" w:rsidR="001702AE" w:rsidRPr="00032054" w:rsidRDefault="001702AE" w:rsidP="006B54C7">
      <w:pPr>
        <w:spacing w:after="240"/>
        <w:rPr>
          <w:i/>
          <w:color w:val="2F5496" w:themeColor="accent1" w:themeShade="BF"/>
        </w:rPr>
      </w:pPr>
      <w:r w:rsidRPr="00032054">
        <w:rPr>
          <w:i/>
          <w:color w:val="2F5496" w:themeColor="accent1" w:themeShade="BF"/>
        </w:rPr>
        <w:lastRenderedPageBreak/>
        <w:t xml:space="preserve">Table </w:t>
      </w:r>
      <w:r>
        <w:rPr>
          <w:i/>
          <w:color w:val="2F5496" w:themeColor="accent1" w:themeShade="BF"/>
        </w:rPr>
        <w:t>2</w:t>
      </w:r>
      <w:r w:rsidRPr="00032054">
        <w:rPr>
          <w:i/>
          <w:color w:val="2F5496" w:themeColor="accent1" w:themeShade="BF"/>
        </w:rPr>
        <w:t>: Primary Group</w:t>
      </w:r>
      <w:r>
        <w:rPr>
          <w:i/>
          <w:color w:val="2F5496" w:themeColor="accent1" w:themeShade="BF"/>
        </w:rPr>
        <w:t>s</w:t>
      </w:r>
      <w:r w:rsidRPr="00032054">
        <w:rPr>
          <w:i/>
          <w:color w:val="2F5496" w:themeColor="accent1" w:themeShade="BF"/>
        </w:rPr>
        <w:t xml:space="preserve"> of clients</w:t>
      </w:r>
    </w:p>
    <w:tbl>
      <w:tblPr>
        <w:tblStyle w:val="PlainTable2"/>
        <w:tblW w:w="9494" w:type="dxa"/>
        <w:tblLook w:val="04A0" w:firstRow="1" w:lastRow="0" w:firstColumn="1" w:lastColumn="0" w:noHBand="0" w:noVBand="1"/>
      </w:tblPr>
      <w:tblGrid>
        <w:gridCol w:w="4820"/>
        <w:gridCol w:w="1134"/>
        <w:gridCol w:w="1276"/>
        <w:gridCol w:w="1134"/>
        <w:gridCol w:w="1130"/>
      </w:tblGrid>
      <w:tr w:rsidR="001702AE" w:rsidRPr="00612F0E" w14:paraId="3EAC2A17" w14:textId="77777777" w:rsidTr="006B54C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shd w:val="clear" w:color="auto" w:fill="E6E3D9"/>
            <w:noWrap/>
          </w:tcPr>
          <w:p w14:paraId="4393371F" w14:textId="77777777" w:rsidR="001702AE" w:rsidRPr="00612F0E" w:rsidRDefault="001702AE" w:rsidP="006B54C7">
            <w:pPr>
              <w:jc w:val="center"/>
              <w:rPr>
                <w:rFonts w:eastAsia="Times New Roman" w:cstheme="minorHAnsi"/>
                <w:b w:val="0"/>
                <w:iCs/>
                <w:sz w:val="20"/>
                <w:lang w:eastAsia="en-AU"/>
              </w:rPr>
            </w:pPr>
          </w:p>
        </w:tc>
        <w:tc>
          <w:tcPr>
            <w:tcW w:w="2410" w:type="dxa"/>
            <w:gridSpan w:val="2"/>
            <w:shd w:val="clear" w:color="auto" w:fill="E6E3D9"/>
          </w:tcPr>
          <w:p w14:paraId="01B67AEE" w14:textId="77777777" w:rsidR="001702AE" w:rsidRPr="00F527C9" w:rsidRDefault="001702AE" w:rsidP="006B54C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iCs/>
                <w:sz w:val="20"/>
                <w:lang w:eastAsia="en-AU"/>
              </w:rPr>
            </w:pPr>
            <w:r w:rsidRPr="00F527C9">
              <w:rPr>
                <w:rFonts w:eastAsia="Times New Roman" w:cstheme="minorHAnsi"/>
                <w:iCs/>
                <w:sz w:val="20"/>
                <w:lang w:eastAsia="en-AU"/>
              </w:rPr>
              <w:t>Clients with BNPL</w:t>
            </w:r>
          </w:p>
        </w:tc>
        <w:tc>
          <w:tcPr>
            <w:tcW w:w="2264" w:type="dxa"/>
            <w:gridSpan w:val="2"/>
            <w:shd w:val="clear" w:color="auto" w:fill="E6E3D9"/>
          </w:tcPr>
          <w:p w14:paraId="5096A7B2" w14:textId="77777777" w:rsidR="001702AE" w:rsidRPr="00F527C9" w:rsidRDefault="001702AE" w:rsidP="006B54C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iCs/>
                <w:sz w:val="20"/>
                <w:lang w:eastAsia="en-AU"/>
              </w:rPr>
            </w:pPr>
            <w:r w:rsidRPr="00F527C9">
              <w:rPr>
                <w:rFonts w:eastAsia="Times New Roman" w:cstheme="minorHAnsi"/>
                <w:iCs/>
                <w:sz w:val="20"/>
                <w:lang w:eastAsia="en-AU"/>
              </w:rPr>
              <w:t>Clients with no BNPL debts</w:t>
            </w:r>
          </w:p>
        </w:tc>
      </w:tr>
      <w:tr w:rsidR="001702AE" w:rsidRPr="00612F0E" w14:paraId="621054EC"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shd w:val="clear" w:color="auto" w:fill="E6E3D9"/>
            <w:noWrap/>
            <w:hideMark/>
          </w:tcPr>
          <w:p w14:paraId="6DD77757" w14:textId="77777777" w:rsidR="001702AE" w:rsidRPr="00612F0E" w:rsidRDefault="001702AE" w:rsidP="006B54C7">
            <w:pPr>
              <w:rPr>
                <w:rFonts w:eastAsia="Times New Roman" w:cstheme="minorHAnsi"/>
                <w:b w:val="0"/>
                <w:sz w:val="20"/>
                <w:lang w:eastAsia="en-AU"/>
              </w:rPr>
            </w:pPr>
            <w:r w:rsidRPr="00612F0E">
              <w:rPr>
                <w:rFonts w:eastAsia="Times New Roman" w:cstheme="minorHAnsi"/>
                <w:b w:val="0"/>
                <w:sz w:val="20"/>
                <w:lang w:eastAsia="en-AU"/>
              </w:rPr>
              <w:t>Primary Groups</w:t>
            </w:r>
          </w:p>
        </w:tc>
        <w:tc>
          <w:tcPr>
            <w:tcW w:w="1134" w:type="dxa"/>
            <w:shd w:val="clear" w:color="auto" w:fill="E6E3D9"/>
            <w:noWrap/>
            <w:hideMark/>
          </w:tcPr>
          <w:p w14:paraId="7E0A2D47"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lang w:eastAsia="en-AU"/>
              </w:rPr>
            </w:pPr>
            <w:r w:rsidRPr="00612F0E">
              <w:rPr>
                <w:rFonts w:eastAsia="Times New Roman" w:cstheme="minorHAnsi"/>
                <w:b/>
                <w:sz w:val="20"/>
                <w:lang w:eastAsia="en-AU"/>
              </w:rPr>
              <w:t>No.</w:t>
            </w:r>
          </w:p>
        </w:tc>
        <w:tc>
          <w:tcPr>
            <w:tcW w:w="1276" w:type="dxa"/>
            <w:shd w:val="clear" w:color="auto" w:fill="E6E3D9"/>
            <w:noWrap/>
            <w:hideMark/>
          </w:tcPr>
          <w:p w14:paraId="6777F38D"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iCs/>
                <w:sz w:val="20"/>
                <w:lang w:eastAsia="en-AU"/>
              </w:rPr>
            </w:pPr>
            <w:r w:rsidRPr="00612F0E">
              <w:rPr>
                <w:rFonts w:eastAsia="Times New Roman" w:cstheme="minorHAnsi"/>
                <w:b/>
                <w:iCs/>
                <w:sz w:val="20"/>
                <w:lang w:eastAsia="en-AU"/>
              </w:rPr>
              <w:t>%</w:t>
            </w:r>
          </w:p>
        </w:tc>
        <w:tc>
          <w:tcPr>
            <w:tcW w:w="1134" w:type="dxa"/>
            <w:shd w:val="clear" w:color="auto" w:fill="E6E3D9"/>
          </w:tcPr>
          <w:p w14:paraId="7FC764AD"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i/>
                <w:iCs/>
                <w:sz w:val="20"/>
                <w:lang w:eastAsia="en-AU"/>
              </w:rPr>
            </w:pPr>
            <w:r w:rsidRPr="00612F0E">
              <w:rPr>
                <w:rFonts w:eastAsia="Times New Roman" w:cstheme="minorHAnsi"/>
                <w:b/>
                <w:sz w:val="20"/>
                <w:lang w:eastAsia="en-AU"/>
              </w:rPr>
              <w:t>No.</w:t>
            </w:r>
          </w:p>
        </w:tc>
        <w:tc>
          <w:tcPr>
            <w:tcW w:w="1130" w:type="dxa"/>
            <w:shd w:val="clear" w:color="auto" w:fill="E6E3D9"/>
          </w:tcPr>
          <w:p w14:paraId="1F6E35BD"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i/>
                <w:iCs/>
                <w:sz w:val="20"/>
                <w:lang w:eastAsia="en-AU"/>
              </w:rPr>
            </w:pPr>
            <w:r w:rsidRPr="00612F0E">
              <w:rPr>
                <w:rFonts w:eastAsia="Times New Roman" w:cstheme="minorHAnsi"/>
                <w:b/>
                <w:iCs/>
                <w:sz w:val="20"/>
                <w:lang w:eastAsia="en-AU"/>
              </w:rPr>
              <w:t>%</w:t>
            </w:r>
          </w:p>
        </w:tc>
      </w:tr>
      <w:tr w:rsidR="001702AE" w:rsidRPr="00612F0E" w14:paraId="494F8715"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2796C398" w14:textId="77777777" w:rsidR="001702AE" w:rsidRPr="00612F0E" w:rsidRDefault="001702AE" w:rsidP="006B54C7">
            <w:pPr>
              <w:rPr>
                <w:rFonts w:eastAsia="Times New Roman" w:cstheme="minorHAnsi"/>
                <w:b w:val="0"/>
                <w:sz w:val="20"/>
                <w:lang w:eastAsia="en-AU"/>
              </w:rPr>
            </w:pPr>
            <w:r w:rsidRPr="00612F0E">
              <w:rPr>
                <w:rFonts w:cstheme="minorHAnsi"/>
                <w:sz w:val="20"/>
              </w:rPr>
              <w:t>Prisoners and former prisoners</w:t>
            </w:r>
          </w:p>
        </w:tc>
        <w:tc>
          <w:tcPr>
            <w:tcW w:w="1134" w:type="dxa"/>
            <w:noWrap/>
          </w:tcPr>
          <w:p w14:paraId="5DDA5A3C"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lang w:eastAsia="en-AU"/>
              </w:rPr>
            </w:pPr>
            <w:r w:rsidRPr="00612F0E">
              <w:rPr>
                <w:rFonts w:eastAsia="Times New Roman" w:cstheme="minorHAnsi"/>
                <w:sz w:val="20"/>
                <w:lang w:eastAsia="en-AU"/>
              </w:rPr>
              <w:t>6</w:t>
            </w:r>
          </w:p>
        </w:tc>
        <w:tc>
          <w:tcPr>
            <w:tcW w:w="1276" w:type="dxa"/>
            <w:noWrap/>
          </w:tcPr>
          <w:p w14:paraId="1CC49C98"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iCs/>
                <w:sz w:val="20"/>
                <w:lang w:eastAsia="en-AU"/>
              </w:rPr>
            </w:pPr>
            <w:r w:rsidRPr="00612F0E">
              <w:rPr>
                <w:rFonts w:eastAsia="Times New Roman" w:cstheme="minorHAnsi"/>
                <w:sz w:val="20"/>
                <w:lang w:eastAsia="en-AU"/>
              </w:rPr>
              <w:t>8%</w:t>
            </w:r>
          </w:p>
        </w:tc>
        <w:tc>
          <w:tcPr>
            <w:tcW w:w="1134" w:type="dxa"/>
          </w:tcPr>
          <w:p w14:paraId="3DB8432B"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lang w:eastAsia="en-AU"/>
              </w:rPr>
            </w:pPr>
            <w:r w:rsidRPr="00612F0E">
              <w:rPr>
                <w:rFonts w:cstheme="minorHAnsi"/>
                <w:sz w:val="20"/>
              </w:rPr>
              <w:t>58</w:t>
            </w:r>
            <w:r w:rsidRPr="00612F0E">
              <w:rPr>
                <w:rStyle w:val="FootnoteReference"/>
                <w:rFonts w:cstheme="minorHAnsi"/>
                <w:sz w:val="20"/>
              </w:rPr>
              <w:footnoteReference w:id="8"/>
            </w:r>
          </w:p>
        </w:tc>
        <w:tc>
          <w:tcPr>
            <w:tcW w:w="1130" w:type="dxa"/>
          </w:tcPr>
          <w:p w14:paraId="60F59B31"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iCs/>
                <w:sz w:val="20"/>
                <w:lang w:eastAsia="en-AU"/>
              </w:rPr>
            </w:pPr>
            <w:r w:rsidRPr="00612F0E">
              <w:rPr>
                <w:rFonts w:cstheme="minorHAnsi"/>
                <w:sz w:val="20"/>
              </w:rPr>
              <w:t>27%</w:t>
            </w:r>
          </w:p>
        </w:tc>
      </w:tr>
      <w:tr w:rsidR="001702AE" w:rsidRPr="00612F0E" w14:paraId="4B48658B"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0AFE1A22"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A person affected by mental illness</w:t>
            </w:r>
          </w:p>
        </w:tc>
        <w:tc>
          <w:tcPr>
            <w:tcW w:w="1134" w:type="dxa"/>
            <w:noWrap/>
            <w:hideMark/>
          </w:tcPr>
          <w:p w14:paraId="513D343C"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21</w:t>
            </w:r>
          </w:p>
        </w:tc>
        <w:tc>
          <w:tcPr>
            <w:tcW w:w="1276" w:type="dxa"/>
            <w:noWrap/>
            <w:hideMark/>
          </w:tcPr>
          <w:p w14:paraId="3409D03E"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27%</w:t>
            </w:r>
          </w:p>
        </w:tc>
        <w:tc>
          <w:tcPr>
            <w:tcW w:w="1134" w:type="dxa"/>
          </w:tcPr>
          <w:p w14:paraId="7786AA52"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46</w:t>
            </w:r>
          </w:p>
        </w:tc>
        <w:tc>
          <w:tcPr>
            <w:tcW w:w="1130" w:type="dxa"/>
          </w:tcPr>
          <w:p w14:paraId="0440F6CA"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21%</w:t>
            </w:r>
          </w:p>
        </w:tc>
      </w:tr>
      <w:tr w:rsidR="001702AE" w:rsidRPr="00612F0E" w14:paraId="78A56200"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336C6E3F"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People on income support</w:t>
            </w:r>
          </w:p>
        </w:tc>
        <w:tc>
          <w:tcPr>
            <w:tcW w:w="1134" w:type="dxa"/>
            <w:noWrap/>
            <w:hideMark/>
          </w:tcPr>
          <w:p w14:paraId="61CE3E2D"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21</w:t>
            </w:r>
          </w:p>
        </w:tc>
        <w:tc>
          <w:tcPr>
            <w:tcW w:w="1276" w:type="dxa"/>
            <w:noWrap/>
            <w:hideMark/>
          </w:tcPr>
          <w:p w14:paraId="403435A4"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27%</w:t>
            </w:r>
          </w:p>
        </w:tc>
        <w:tc>
          <w:tcPr>
            <w:tcW w:w="1134" w:type="dxa"/>
          </w:tcPr>
          <w:p w14:paraId="2DFAA0A2"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24</w:t>
            </w:r>
          </w:p>
        </w:tc>
        <w:tc>
          <w:tcPr>
            <w:tcW w:w="1130" w:type="dxa"/>
          </w:tcPr>
          <w:p w14:paraId="02F12858"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11%</w:t>
            </w:r>
          </w:p>
        </w:tc>
      </w:tr>
      <w:tr w:rsidR="001702AE" w:rsidRPr="00612F0E" w14:paraId="6E1A00D8"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7BAD9661"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People with disabilities</w:t>
            </w:r>
          </w:p>
        </w:tc>
        <w:tc>
          <w:tcPr>
            <w:tcW w:w="1134" w:type="dxa"/>
            <w:noWrap/>
            <w:hideMark/>
          </w:tcPr>
          <w:p w14:paraId="4D6F0C3C"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10</w:t>
            </w:r>
          </w:p>
        </w:tc>
        <w:tc>
          <w:tcPr>
            <w:tcW w:w="1276" w:type="dxa"/>
            <w:noWrap/>
            <w:hideMark/>
          </w:tcPr>
          <w:p w14:paraId="38354386"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13%</w:t>
            </w:r>
          </w:p>
        </w:tc>
        <w:tc>
          <w:tcPr>
            <w:tcW w:w="1134" w:type="dxa"/>
          </w:tcPr>
          <w:p w14:paraId="6E6C2A78"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26</w:t>
            </w:r>
          </w:p>
        </w:tc>
        <w:tc>
          <w:tcPr>
            <w:tcW w:w="1130" w:type="dxa"/>
          </w:tcPr>
          <w:p w14:paraId="46A61FAD"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12%</w:t>
            </w:r>
          </w:p>
        </w:tc>
      </w:tr>
      <w:tr w:rsidR="001702AE" w:rsidRPr="00612F0E" w14:paraId="2468B87D"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769F45DE"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Family violence</w:t>
            </w:r>
          </w:p>
        </w:tc>
        <w:tc>
          <w:tcPr>
            <w:tcW w:w="1134" w:type="dxa"/>
            <w:noWrap/>
            <w:hideMark/>
          </w:tcPr>
          <w:p w14:paraId="574848F6"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7</w:t>
            </w:r>
          </w:p>
        </w:tc>
        <w:tc>
          <w:tcPr>
            <w:tcW w:w="1276" w:type="dxa"/>
            <w:noWrap/>
            <w:hideMark/>
          </w:tcPr>
          <w:p w14:paraId="0B23F431"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9%</w:t>
            </w:r>
          </w:p>
        </w:tc>
        <w:tc>
          <w:tcPr>
            <w:tcW w:w="1134" w:type="dxa"/>
          </w:tcPr>
          <w:p w14:paraId="7D5BA1B6"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3</w:t>
            </w:r>
          </w:p>
        </w:tc>
        <w:tc>
          <w:tcPr>
            <w:tcW w:w="1130" w:type="dxa"/>
          </w:tcPr>
          <w:p w14:paraId="3F57BFE0"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1%</w:t>
            </w:r>
          </w:p>
        </w:tc>
      </w:tr>
      <w:tr w:rsidR="001702AE" w:rsidRPr="00612F0E" w14:paraId="6AAD2ED2"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607A4B28"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Homeless people</w:t>
            </w:r>
          </w:p>
        </w:tc>
        <w:tc>
          <w:tcPr>
            <w:tcW w:w="1134" w:type="dxa"/>
            <w:noWrap/>
          </w:tcPr>
          <w:p w14:paraId="4EA21CC4"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4</w:t>
            </w:r>
          </w:p>
        </w:tc>
        <w:tc>
          <w:tcPr>
            <w:tcW w:w="1276" w:type="dxa"/>
            <w:noWrap/>
          </w:tcPr>
          <w:p w14:paraId="3C365FDF"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5%</w:t>
            </w:r>
          </w:p>
        </w:tc>
        <w:tc>
          <w:tcPr>
            <w:tcW w:w="1134" w:type="dxa"/>
          </w:tcPr>
          <w:p w14:paraId="0D08D198"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2</w:t>
            </w:r>
          </w:p>
        </w:tc>
        <w:tc>
          <w:tcPr>
            <w:tcW w:w="1130" w:type="dxa"/>
          </w:tcPr>
          <w:p w14:paraId="265D770F"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1%</w:t>
            </w:r>
          </w:p>
        </w:tc>
      </w:tr>
      <w:tr w:rsidR="001702AE" w:rsidRPr="00612F0E" w14:paraId="4C998E8A"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10EA2D39" w14:textId="77777777" w:rsidR="001702AE" w:rsidRPr="00612F0E" w:rsidRDefault="001702AE" w:rsidP="006B54C7">
            <w:pPr>
              <w:rPr>
                <w:rFonts w:cstheme="minorHAnsi"/>
                <w:sz w:val="20"/>
              </w:rPr>
            </w:pPr>
            <w:r w:rsidRPr="00612F0E">
              <w:rPr>
                <w:rFonts w:eastAsia="Times New Roman" w:cstheme="minorHAnsi"/>
                <w:sz w:val="20"/>
                <w:lang w:eastAsia="en-AU"/>
              </w:rPr>
              <w:t>Gambling</w:t>
            </w:r>
          </w:p>
        </w:tc>
        <w:tc>
          <w:tcPr>
            <w:tcW w:w="1134" w:type="dxa"/>
            <w:noWrap/>
          </w:tcPr>
          <w:p w14:paraId="02D58BA6"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3</w:t>
            </w:r>
          </w:p>
        </w:tc>
        <w:tc>
          <w:tcPr>
            <w:tcW w:w="1276" w:type="dxa"/>
            <w:noWrap/>
          </w:tcPr>
          <w:p w14:paraId="555B0BA9"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4%</w:t>
            </w:r>
          </w:p>
        </w:tc>
        <w:tc>
          <w:tcPr>
            <w:tcW w:w="1134" w:type="dxa"/>
          </w:tcPr>
          <w:p w14:paraId="20DB409E"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612F0E">
              <w:rPr>
                <w:rFonts w:cstheme="minorHAnsi"/>
                <w:sz w:val="20"/>
              </w:rPr>
              <w:t>1</w:t>
            </w:r>
          </w:p>
        </w:tc>
        <w:tc>
          <w:tcPr>
            <w:tcW w:w="1130" w:type="dxa"/>
          </w:tcPr>
          <w:p w14:paraId="164ABF4C"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612F0E">
              <w:rPr>
                <w:rFonts w:cstheme="minorHAnsi"/>
                <w:sz w:val="20"/>
              </w:rPr>
              <w:t>0%</w:t>
            </w:r>
          </w:p>
        </w:tc>
      </w:tr>
      <w:tr w:rsidR="001702AE" w:rsidRPr="00612F0E" w14:paraId="1090BE90"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39FE2C5C"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Relationship difficulties</w:t>
            </w:r>
          </w:p>
        </w:tc>
        <w:tc>
          <w:tcPr>
            <w:tcW w:w="1134" w:type="dxa"/>
            <w:noWrap/>
          </w:tcPr>
          <w:p w14:paraId="66F8924C"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3</w:t>
            </w:r>
          </w:p>
        </w:tc>
        <w:tc>
          <w:tcPr>
            <w:tcW w:w="1276" w:type="dxa"/>
            <w:noWrap/>
          </w:tcPr>
          <w:p w14:paraId="69115562"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4%</w:t>
            </w:r>
          </w:p>
        </w:tc>
        <w:tc>
          <w:tcPr>
            <w:tcW w:w="1134" w:type="dxa"/>
          </w:tcPr>
          <w:p w14:paraId="59058065"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5</w:t>
            </w:r>
          </w:p>
        </w:tc>
        <w:tc>
          <w:tcPr>
            <w:tcW w:w="1130" w:type="dxa"/>
          </w:tcPr>
          <w:p w14:paraId="431B7CD5"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2%</w:t>
            </w:r>
          </w:p>
        </w:tc>
      </w:tr>
      <w:tr w:rsidR="001702AE" w:rsidRPr="00612F0E" w14:paraId="0EDE1055"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1BEB6338"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Seniors</w:t>
            </w:r>
          </w:p>
        </w:tc>
        <w:tc>
          <w:tcPr>
            <w:tcW w:w="1134" w:type="dxa"/>
            <w:noWrap/>
          </w:tcPr>
          <w:p w14:paraId="304A2B12"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1</w:t>
            </w:r>
          </w:p>
        </w:tc>
        <w:tc>
          <w:tcPr>
            <w:tcW w:w="1276" w:type="dxa"/>
            <w:noWrap/>
          </w:tcPr>
          <w:p w14:paraId="28630F35"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1%</w:t>
            </w:r>
          </w:p>
        </w:tc>
        <w:tc>
          <w:tcPr>
            <w:tcW w:w="1134" w:type="dxa"/>
          </w:tcPr>
          <w:p w14:paraId="7B4B2A89"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7</w:t>
            </w:r>
          </w:p>
        </w:tc>
        <w:tc>
          <w:tcPr>
            <w:tcW w:w="1130" w:type="dxa"/>
          </w:tcPr>
          <w:p w14:paraId="0DABB226"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3%</w:t>
            </w:r>
          </w:p>
        </w:tc>
      </w:tr>
      <w:tr w:rsidR="001702AE" w:rsidRPr="00612F0E" w14:paraId="1AC3D8A5"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78254D04" w14:textId="77777777" w:rsidR="001702AE" w:rsidRPr="00612F0E" w:rsidRDefault="001702AE" w:rsidP="006B54C7">
            <w:pPr>
              <w:rPr>
                <w:rFonts w:eastAsia="Times New Roman" w:cstheme="minorHAnsi"/>
                <w:sz w:val="20"/>
                <w:lang w:eastAsia="en-AU"/>
              </w:rPr>
            </w:pPr>
            <w:r w:rsidRPr="00612F0E">
              <w:rPr>
                <w:rFonts w:eastAsia="Times New Roman" w:cstheme="minorHAnsi"/>
                <w:sz w:val="20"/>
                <w:lang w:eastAsia="en-AU"/>
              </w:rPr>
              <w:t>Indigenous communities</w:t>
            </w:r>
          </w:p>
        </w:tc>
        <w:tc>
          <w:tcPr>
            <w:tcW w:w="1134" w:type="dxa"/>
            <w:noWrap/>
            <w:hideMark/>
          </w:tcPr>
          <w:p w14:paraId="4A087EE0"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1</w:t>
            </w:r>
          </w:p>
        </w:tc>
        <w:tc>
          <w:tcPr>
            <w:tcW w:w="1276" w:type="dxa"/>
            <w:noWrap/>
            <w:hideMark/>
          </w:tcPr>
          <w:p w14:paraId="42F82AEC"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1%</w:t>
            </w:r>
          </w:p>
        </w:tc>
        <w:tc>
          <w:tcPr>
            <w:tcW w:w="1134" w:type="dxa"/>
          </w:tcPr>
          <w:p w14:paraId="45936784"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3</w:t>
            </w:r>
          </w:p>
        </w:tc>
        <w:tc>
          <w:tcPr>
            <w:tcW w:w="1130" w:type="dxa"/>
          </w:tcPr>
          <w:p w14:paraId="42F70D3E"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1%</w:t>
            </w:r>
          </w:p>
        </w:tc>
      </w:tr>
      <w:tr w:rsidR="001702AE" w:rsidRPr="00612F0E" w14:paraId="4004EC99"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14:paraId="665AF29A" w14:textId="77777777" w:rsidR="001702AE" w:rsidRPr="00612F0E" w:rsidRDefault="001702AE" w:rsidP="006B54C7">
            <w:pPr>
              <w:rPr>
                <w:rFonts w:eastAsia="Times New Roman" w:cstheme="minorHAnsi"/>
                <w:sz w:val="20"/>
                <w:lang w:eastAsia="en-AU"/>
              </w:rPr>
            </w:pPr>
            <w:r w:rsidRPr="00612F0E">
              <w:rPr>
                <w:rFonts w:cstheme="minorHAnsi"/>
                <w:sz w:val="20"/>
              </w:rPr>
              <w:t>New arrivals/new and emerging communities</w:t>
            </w:r>
          </w:p>
        </w:tc>
        <w:tc>
          <w:tcPr>
            <w:tcW w:w="1134" w:type="dxa"/>
            <w:noWrap/>
            <w:hideMark/>
          </w:tcPr>
          <w:p w14:paraId="4A19F4C8"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0</w:t>
            </w:r>
          </w:p>
        </w:tc>
        <w:tc>
          <w:tcPr>
            <w:tcW w:w="1276" w:type="dxa"/>
            <w:noWrap/>
            <w:hideMark/>
          </w:tcPr>
          <w:p w14:paraId="60D079A4"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0%</w:t>
            </w:r>
          </w:p>
        </w:tc>
        <w:tc>
          <w:tcPr>
            <w:tcW w:w="1134" w:type="dxa"/>
          </w:tcPr>
          <w:p w14:paraId="38D77261"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1</w:t>
            </w:r>
          </w:p>
        </w:tc>
        <w:tc>
          <w:tcPr>
            <w:tcW w:w="1130" w:type="dxa"/>
          </w:tcPr>
          <w:p w14:paraId="3C4BB8FF"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0%</w:t>
            </w:r>
          </w:p>
        </w:tc>
      </w:tr>
      <w:tr w:rsidR="001702AE" w:rsidRPr="00612F0E" w14:paraId="5A0DE465"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17F57AE2" w14:textId="77777777" w:rsidR="001702AE" w:rsidRPr="00612F0E" w:rsidRDefault="001702AE" w:rsidP="006B54C7">
            <w:pPr>
              <w:rPr>
                <w:rFonts w:cstheme="minorHAnsi"/>
                <w:sz w:val="20"/>
              </w:rPr>
            </w:pPr>
            <w:r w:rsidRPr="00612F0E">
              <w:rPr>
                <w:rFonts w:cstheme="minorHAnsi"/>
                <w:sz w:val="20"/>
              </w:rPr>
              <w:t>People affected by GFC</w:t>
            </w:r>
          </w:p>
        </w:tc>
        <w:tc>
          <w:tcPr>
            <w:tcW w:w="1134" w:type="dxa"/>
            <w:noWrap/>
          </w:tcPr>
          <w:p w14:paraId="3F77E6A6"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sz w:val="20"/>
              </w:rPr>
            </w:pPr>
            <w:r w:rsidRPr="00612F0E">
              <w:rPr>
                <w:rFonts w:cstheme="minorHAnsi"/>
                <w:sz w:val="20"/>
              </w:rPr>
              <w:t>0</w:t>
            </w:r>
          </w:p>
        </w:tc>
        <w:tc>
          <w:tcPr>
            <w:tcW w:w="1276" w:type="dxa"/>
            <w:noWrap/>
          </w:tcPr>
          <w:p w14:paraId="75D85122"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sz w:val="20"/>
              </w:rPr>
            </w:pPr>
            <w:r w:rsidRPr="00612F0E">
              <w:rPr>
                <w:rFonts w:cstheme="minorHAnsi"/>
                <w:sz w:val="20"/>
              </w:rPr>
              <w:t>0%</w:t>
            </w:r>
          </w:p>
        </w:tc>
        <w:tc>
          <w:tcPr>
            <w:tcW w:w="1134" w:type="dxa"/>
          </w:tcPr>
          <w:p w14:paraId="06AD7599"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sz w:val="20"/>
              </w:rPr>
            </w:pPr>
            <w:r w:rsidRPr="00612F0E">
              <w:rPr>
                <w:rFonts w:cstheme="minorHAnsi"/>
                <w:sz w:val="20"/>
              </w:rPr>
              <w:t>1</w:t>
            </w:r>
          </w:p>
        </w:tc>
        <w:tc>
          <w:tcPr>
            <w:tcW w:w="1130" w:type="dxa"/>
          </w:tcPr>
          <w:p w14:paraId="478525F4"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cstheme="minorHAnsi"/>
                <w:sz w:val="20"/>
              </w:rPr>
            </w:pPr>
            <w:r w:rsidRPr="00612F0E">
              <w:rPr>
                <w:rFonts w:cstheme="minorHAnsi"/>
                <w:sz w:val="20"/>
              </w:rPr>
              <w:t>0%</w:t>
            </w:r>
          </w:p>
        </w:tc>
      </w:tr>
      <w:tr w:rsidR="001702AE" w:rsidRPr="00612F0E" w14:paraId="7B0DB9A3"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61FFDFF7" w14:textId="77777777" w:rsidR="001702AE" w:rsidRPr="00612F0E" w:rsidRDefault="001702AE" w:rsidP="006B54C7">
            <w:pPr>
              <w:rPr>
                <w:rFonts w:eastAsia="Times New Roman" w:cstheme="minorHAnsi"/>
                <w:sz w:val="20"/>
                <w:lang w:eastAsia="en-AU"/>
              </w:rPr>
            </w:pPr>
            <w:r w:rsidRPr="00612F0E">
              <w:rPr>
                <w:rFonts w:cstheme="minorHAnsi"/>
                <w:sz w:val="20"/>
              </w:rPr>
              <w:t>Other</w:t>
            </w:r>
          </w:p>
        </w:tc>
        <w:tc>
          <w:tcPr>
            <w:tcW w:w="1134" w:type="dxa"/>
            <w:noWrap/>
          </w:tcPr>
          <w:p w14:paraId="303FE870"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0</w:t>
            </w:r>
          </w:p>
        </w:tc>
        <w:tc>
          <w:tcPr>
            <w:tcW w:w="1276" w:type="dxa"/>
            <w:noWrap/>
          </w:tcPr>
          <w:p w14:paraId="1EC4E522"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0%</w:t>
            </w:r>
          </w:p>
        </w:tc>
        <w:tc>
          <w:tcPr>
            <w:tcW w:w="1134" w:type="dxa"/>
          </w:tcPr>
          <w:p w14:paraId="02971808"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1</w:t>
            </w:r>
          </w:p>
        </w:tc>
        <w:tc>
          <w:tcPr>
            <w:tcW w:w="1130" w:type="dxa"/>
          </w:tcPr>
          <w:p w14:paraId="798193BD"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cstheme="minorHAnsi"/>
                <w:sz w:val="20"/>
              </w:rPr>
              <w:t>0%</w:t>
            </w:r>
          </w:p>
        </w:tc>
      </w:tr>
      <w:tr w:rsidR="001702AE" w:rsidRPr="00612F0E" w14:paraId="3369D4EB"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tcPr>
          <w:p w14:paraId="58979C6C" w14:textId="77777777" w:rsidR="001702AE" w:rsidRPr="00612F0E" w:rsidRDefault="001702AE" w:rsidP="006B54C7">
            <w:pPr>
              <w:rPr>
                <w:rFonts w:eastAsia="Times New Roman" w:cstheme="minorHAnsi"/>
                <w:sz w:val="20"/>
                <w:lang w:eastAsia="en-AU"/>
              </w:rPr>
            </w:pPr>
            <w:r w:rsidRPr="00612F0E">
              <w:rPr>
                <w:rFonts w:cstheme="minorHAnsi"/>
                <w:sz w:val="20"/>
              </w:rPr>
              <w:t>Not applicable</w:t>
            </w:r>
          </w:p>
        </w:tc>
        <w:tc>
          <w:tcPr>
            <w:tcW w:w="1134" w:type="dxa"/>
            <w:noWrap/>
          </w:tcPr>
          <w:p w14:paraId="4B58BEF7"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0</w:t>
            </w:r>
          </w:p>
        </w:tc>
        <w:tc>
          <w:tcPr>
            <w:tcW w:w="1276" w:type="dxa"/>
            <w:noWrap/>
          </w:tcPr>
          <w:p w14:paraId="26A2DA81"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sz w:val="20"/>
                <w:lang w:eastAsia="en-AU"/>
              </w:rPr>
              <w:t>0%</w:t>
            </w:r>
          </w:p>
        </w:tc>
        <w:tc>
          <w:tcPr>
            <w:tcW w:w="1134" w:type="dxa"/>
          </w:tcPr>
          <w:p w14:paraId="50A5595C"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37</w:t>
            </w:r>
          </w:p>
        </w:tc>
        <w:tc>
          <w:tcPr>
            <w:tcW w:w="1130" w:type="dxa"/>
          </w:tcPr>
          <w:p w14:paraId="7261F7BC"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cstheme="minorHAnsi"/>
                <w:sz w:val="20"/>
              </w:rPr>
              <w:t>17%</w:t>
            </w:r>
          </w:p>
        </w:tc>
      </w:tr>
      <w:tr w:rsidR="001702AE" w:rsidRPr="00612F0E" w14:paraId="15A760D4"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shd w:val="clear" w:color="auto" w:fill="E6E3D9"/>
            <w:noWrap/>
          </w:tcPr>
          <w:p w14:paraId="7E1A0B51" w14:textId="77777777" w:rsidR="001702AE" w:rsidRPr="00612F0E" w:rsidRDefault="001702AE" w:rsidP="006B54C7">
            <w:pPr>
              <w:rPr>
                <w:rFonts w:eastAsia="Times New Roman" w:cstheme="minorHAnsi"/>
                <w:sz w:val="20"/>
                <w:lang w:eastAsia="en-AU"/>
              </w:rPr>
            </w:pPr>
            <w:r w:rsidRPr="00612F0E">
              <w:rPr>
                <w:rFonts w:eastAsia="Times New Roman" w:cstheme="minorHAnsi"/>
                <w:b w:val="0"/>
                <w:bCs w:val="0"/>
                <w:sz w:val="20"/>
                <w:lang w:eastAsia="en-AU"/>
              </w:rPr>
              <w:t>Subtotal</w:t>
            </w:r>
          </w:p>
        </w:tc>
        <w:tc>
          <w:tcPr>
            <w:tcW w:w="1134" w:type="dxa"/>
            <w:shd w:val="clear" w:color="auto" w:fill="E6E3D9"/>
            <w:noWrap/>
          </w:tcPr>
          <w:p w14:paraId="48311B5C"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b/>
                <w:bCs/>
                <w:sz w:val="20"/>
                <w:lang w:eastAsia="en-AU"/>
              </w:rPr>
              <w:t>77</w:t>
            </w:r>
          </w:p>
        </w:tc>
        <w:tc>
          <w:tcPr>
            <w:tcW w:w="1276" w:type="dxa"/>
            <w:shd w:val="clear" w:color="auto" w:fill="E6E3D9"/>
            <w:noWrap/>
          </w:tcPr>
          <w:p w14:paraId="1EF378DB"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b/>
                <w:bCs/>
                <w:sz w:val="20"/>
                <w:lang w:eastAsia="en-AU"/>
              </w:rPr>
              <w:t>100%</w:t>
            </w:r>
          </w:p>
        </w:tc>
        <w:tc>
          <w:tcPr>
            <w:tcW w:w="1134" w:type="dxa"/>
            <w:shd w:val="clear" w:color="auto" w:fill="E6E3D9"/>
          </w:tcPr>
          <w:p w14:paraId="7D703AA1"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b/>
                <w:bCs/>
                <w:sz w:val="20"/>
                <w:lang w:eastAsia="en-AU"/>
              </w:rPr>
              <w:t>215</w:t>
            </w:r>
          </w:p>
        </w:tc>
        <w:tc>
          <w:tcPr>
            <w:tcW w:w="1130" w:type="dxa"/>
            <w:shd w:val="clear" w:color="auto" w:fill="E6E3D9"/>
          </w:tcPr>
          <w:p w14:paraId="558620DB"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b/>
                <w:bCs/>
                <w:sz w:val="20"/>
                <w:lang w:eastAsia="en-AU"/>
              </w:rPr>
              <w:t>100%</w:t>
            </w:r>
          </w:p>
        </w:tc>
      </w:tr>
      <w:tr w:rsidR="001702AE" w:rsidRPr="00612F0E" w14:paraId="2B98F162"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shd w:val="clear" w:color="auto" w:fill="E6E3D9"/>
            <w:noWrap/>
          </w:tcPr>
          <w:p w14:paraId="513A74BD" w14:textId="77777777" w:rsidR="001702AE" w:rsidRPr="00612F0E" w:rsidRDefault="001702AE" w:rsidP="006B54C7">
            <w:pPr>
              <w:rPr>
                <w:rFonts w:eastAsia="Times New Roman" w:cstheme="minorHAnsi"/>
                <w:sz w:val="20"/>
                <w:lang w:eastAsia="en-AU"/>
              </w:rPr>
            </w:pPr>
            <w:r w:rsidRPr="00612F0E">
              <w:rPr>
                <w:rFonts w:eastAsia="Times New Roman" w:cstheme="minorHAnsi"/>
                <w:b w:val="0"/>
                <w:bCs w:val="0"/>
                <w:sz w:val="20"/>
                <w:lang w:eastAsia="en-AU"/>
              </w:rPr>
              <w:t>Inadequately described/not completed</w:t>
            </w:r>
          </w:p>
        </w:tc>
        <w:tc>
          <w:tcPr>
            <w:tcW w:w="1134" w:type="dxa"/>
            <w:shd w:val="clear" w:color="auto" w:fill="E6E3D9"/>
            <w:noWrap/>
          </w:tcPr>
          <w:p w14:paraId="4A9D5AB0"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b/>
                <w:bCs/>
                <w:sz w:val="20"/>
                <w:lang w:eastAsia="en-AU"/>
              </w:rPr>
              <w:t>23</w:t>
            </w:r>
          </w:p>
        </w:tc>
        <w:tc>
          <w:tcPr>
            <w:tcW w:w="1276" w:type="dxa"/>
            <w:shd w:val="clear" w:color="auto" w:fill="E6E3D9"/>
            <w:noWrap/>
          </w:tcPr>
          <w:p w14:paraId="11ACFE96"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p>
        </w:tc>
        <w:tc>
          <w:tcPr>
            <w:tcW w:w="1134" w:type="dxa"/>
            <w:shd w:val="clear" w:color="auto" w:fill="E6E3D9"/>
          </w:tcPr>
          <w:p w14:paraId="34AF8281"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r w:rsidRPr="00612F0E">
              <w:rPr>
                <w:rFonts w:eastAsia="Times New Roman" w:cstheme="minorHAnsi"/>
                <w:b/>
                <w:bCs/>
                <w:sz w:val="20"/>
                <w:lang w:eastAsia="en-AU"/>
              </w:rPr>
              <w:t>19</w:t>
            </w:r>
          </w:p>
        </w:tc>
        <w:tc>
          <w:tcPr>
            <w:tcW w:w="1130" w:type="dxa"/>
            <w:shd w:val="clear" w:color="auto" w:fill="E6E3D9"/>
          </w:tcPr>
          <w:p w14:paraId="4C2E69AD" w14:textId="77777777" w:rsidR="001702AE" w:rsidRPr="00612F0E" w:rsidRDefault="001702AE" w:rsidP="006B54C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lang w:eastAsia="en-AU"/>
              </w:rPr>
            </w:pPr>
          </w:p>
        </w:tc>
      </w:tr>
      <w:tr w:rsidR="001702AE" w:rsidRPr="00612F0E" w14:paraId="69DA182B"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4820" w:type="dxa"/>
            <w:shd w:val="clear" w:color="auto" w:fill="E6E3D9"/>
            <w:noWrap/>
          </w:tcPr>
          <w:p w14:paraId="257106C8" w14:textId="77777777" w:rsidR="001702AE" w:rsidRPr="005F5997" w:rsidRDefault="001702AE" w:rsidP="006B54C7">
            <w:pPr>
              <w:rPr>
                <w:rFonts w:eastAsia="Times New Roman" w:cstheme="minorHAnsi"/>
                <w:sz w:val="20"/>
                <w:lang w:eastAsia="en-AU"/>
              </w:rPr>
            </w:pPr>
            <w:r w:rsidRPr="005F5997">
              <w:rPr>
                <w:rFonts w:eastAsia="Times New Roman" w:cstheme="minorHAnsi"/>
                <w:bCs w:val="0"/>
                <w:sz w:val="20"/>
                <w:lang w:eastAsia="en-AU"/>
              </w:rPr>
              <w:t>TOTAL</w:t>
            </w:r>
          </w:p>
        </w:tc>
        <w:tc>
          <w:tcPr>
            <w:tcW w:w="1134" w:type="dxa"/>
            <w:shd w:val="clear" w:color="auto" w:fill="E6E3D9"/>
            <w:noWrap/>
          </w:tcPr>
          <w:p w14:paraId="7C1DF9C0"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612F0E">
              <w:rPr>
                <w:rFonts w:eastAsia="Times New Roman" w:cstheme="minorHAnsi"/>
                <w:b/>
                <w:bCs/>
                <w:sz w:val="20"/>
                <w:lang w:eastAsia="en-AU"/>
              </w:rPr>
              <w:t>100</w:t>
            </w:r>
          </w:p>
        </w:tc>
        <w:tc>
          <w:tcPr>
            <w:tcW w:w="1276" w:type="dxa"/>
            <w:shd w:val="clear" w:color="auto" w:fill="E6E3D9"/>
            <w:noWrap/>
          </w:tcPr>
          <w:p w14:paraId="25032573"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1134" w:type="dxa"/>
            <w:shd w:val="clear" w:color="auto" w:fill="E6E3D9"/>
          </w:tcPr>
          <w:p w14:paraId="04C0796F"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lang w:eastAsia="en-AU"/>
              </w:rPr>
            </w:pPr>
            <w:r w:rsidRPr="00612F0E">
              <w:rPr>
                <w:rFonts w:eastAsia="Times New Roman" w:cstheme="minorHAnsi"/>
                <w:b/>
                <w:sz w:val="20"/>
                <w:lang w:eastAsia="en-AU"/>
              </w:rPr>
              <w:t>234</w:t>
            </w:r>
          </w:p>
        </w:tc>
        <w:tc>
          <w:tcPr>
            <w:tcW w:w="1130" w:type="dxa"/>
            <w:shd w:val="clear" w:color="auto" w:fill="E6E3D9"/>
          </w:tcPr>
          <w:p w14:paraId="66FF43D4" w14:textId="77777777" w:rsidR="001702AE" w:rsidRPr="00612F0E" w:rsidRDefault="001702AE" w:rsidP="006B54C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r>
    </w:tbl>
    <w:p w14:paraId="6EDE28FF" w14:textId="77777777" w:rsidR="001702AE" w:rsidRDefault="001702AE" w:rsidP="006B54C7"/>
    <w:p w14:paraId="5BD7B6BF" w14:textId="77777777" w:rsidR="001702AE" w:rsidRPr="00F377A1" w:rsidRDefault="001702AE" w:rsidP="006B54C7">
      <w:pPr>
        <w:pStyle w:val="Heading2"/>
        <w:rPr>
          <w:i/>
        </w:rPr>
      </w:pPr>
      <w:bookmarkStart w:id="77" w:name="_Toc130396336"/>
      <w:bookmarkStart w:id="78" w:name="_Toc131232877"/>
      <w:r>
        <w:t>5.2 Other measures of social and economic disadvantage</w:t>
      </w:r>
      <w:bookmarkEnd w:id="77"/>
      <w:bookmarkEnd w:id="78"/>
    </w:p>
    <w:p w14:paraId="7D8A9DD1" w14:textId="77777777" w:rsidR="001702AE" w:rsidRDefault="001702AE" w:rsidP="006B54C7">
      <w:pPr>
        <w:spacing w:after="240"/>
        <w:rPr>
          <w:szCs w:val="24"/>
        </w:rPr>
      </w:pPr>
      <w:r>
        <w:rPr>
          <w:szCs w:val="24"/>
        </w:rPr>
        <w:t xml:space="preserve">In order to learn more about the social and economic disadvantage of clients, we collected and analysed additional data from each client’s Case File and Client Profile, for both clients with BNPL debts (n=100) and clients with no BNPL debts (n=234). (Refer to Appendix A for the methods we employed to extract and analyse these data.) This data reveals a stark picture of multi-layered social and economic disadvantage experienced by the majority of Financial Counselling clients, whether or not they had BNPL debts. For many clients, this disadvantage is measurable across multiple life domains. </w:t>
      </w:r>
    </w:p>
    <w:p w14:paraId="49D5525C" w14:textId="77777777" w:rsidR="001702AE" w:rsidRDefault="001702AE" w:rsidP="006B54C7">
      <w:pPr>
        <w:spacing w:after="240"/>
        <w:rPr>
          <w:szCs w:val="24"/>
        </w:rPr>
      </w:pPr>
      <w:r>
        <w:rPr>
          <w:b/>
          <w:szCs w:val="24"/>
        </w:rPr>
        <w:lastRenderedPageBreak/>
        <w:t xml:space="preserve">While almost all of Anglicare Tasmania’s Financial Counselling clients face social and economic disadvantage, </w:t>
      </w:r>
      <w:r w:rsidRPr="00E910DA">
        <w:rPr>
          <w:b/>
          <w:szCs w:val="24"/>
        </w:rPr>
        <w:t xml:space="preserve">clients with BNPL debts are </w:t>
      </w:r>
      <w:r w:rsidRPr="004E3086">
        <w:rPr>
          <w:b/>
          <w:i/>
          <w:szCs w:val="24"/>
        </w:rPr>
        <w:t>even more</w:t>
      </w:r>
      <w:r w:rsidRPr="00E910DA">
        <w:rPr>
          <w:b/>
          <w:szCs w:val="24"/>
        </w:rPr>
        <w:t xml:space="preserve"> </w:t>
      </w:r>
      <w:r w:rsidRPr="00F50B30">
        <w:rPr>
          <w:b/>
          <w:i/>
          <w:iCs/>
          <w:szCs w:val="24"/>
        </w:rPr>
        <w:t>likely</w:t>
      </w:r>
      <w:r>
        <w:rPr>
          <w:b/>
          <w:szCs w:val="24"/>
        </w:rPr>
        <w:t xml:space="preserve"> to face disadvantage</w:t>
      </w:r>
      <w:r w:rsidRPr="00E910DA">
        <w:rPr>
          <w:b/>
          <w:szCs w:val="24"/>
        </w:rPr>
        <w:t xml:space="preserve"> than clients with no BNPL debts.</w:t>
      </w:r>
    </w:p>
    <w:p w14:paraId="17C581F2" w14:textId="77777777" w:rsidR="001702AE" w:rsidRDefault="001702AE" w:rsidP="006B54C7">
      <w:pPr>
        <w:pStyle w:val="Heading3"/>
      </w:pPr>
      <w:bookmarkStart w:id="79" w:name="_Toc131232878"/>
      <w:r>
        <w:t>Relationship status</w:t>
      </w:r>
      <w:bookmarkEnd w:id="79"/>
    </w:p>
    <w:p w14:paraId="0F16D152" w14:textId="77777777" w:rsidR="001702AE" w:rsidRDefault="001702AE" w:rsidP="006B54C7">
      <w:pPr>
        <w:spacing w:after="240"/>
      </w:pPr>
      <w:r>
        <w:t xml:space="preserve">Being divorced or separated is generally associated with a greater risk of financial stress. Each client’s relationship status is recorded in their Client Profile. For those with BNPL debts (n = 94), 38% were ‘divorced or separated’, which was similar for </w:t>
      </w:r>
      <w:r w:rsidRPr="00966B93">
        <w:t>clients with no BNPL debts</w:t>
      </w:r>
      <w:r>
        <w:t xml:space="preserve"> (n = 179) (34%). Both figures are more than double the figure for t</w:t>
      </w:r>
      <w:r w:rsidRPr="00966B93">
        <w:t>he Tasmanian population</w:t>
      </w:r>
      <w:r>
        <w:t xml:space="preserve"> aged 15 years and over, 14% of whom were ‘divorced or separated’</w:t>
      </w:r>
      <w:r w:rsidRPr="00966B93">
        <w:t xml:space="preserve"> in 2021</w:t>
      </w:r>
      <w:r>
        <w:t xml:space="preserve"> </w:t>
      </w:r>
      <w:r>
        <w:rPr>
          <w:noProof/>
        </w:rPr>
        <w:t>(ACOSS 2022a)</w:t>
      </w:r>
      <w:r w:rsidRPr="00966B93">
        <w:t>.</w:t>
      </w:r>
      <w:r>
        <w:t xml:space="preserve"> Clients with BNPL debts were more likely to be ‘never married’ (46%) than clients with no BNPL debts (36%), compared to 36% of the Tasmanian population aged 15 years and over in 2021.</w:t>
      </w:r>
      <w:r>
        <w:rPr>
          <w:rStyle w:val="FootnoteReference"/>
        </w:rPr>
        <w:footnoteReference w:id="9"/>
      </w:r>
    </w:p>
    <w:p w14:paraId="7968F74D" w14:textId="77777777" w:rsidR="001702AE" w:rsidRDefault="001702AE" w:rsidP="006B54C7">
      <w:pPr>
        <w:spacing w:after="240"/>
      </w:pPr>
    </w:p>
    <w:p w14:paraId="4AE42DDF" w14:textId="77777777" w:rsidR="001702AE" w:rsidRPr="00606B10" w:rsidRDefault="001702AE" w:rsidP="006B54C7">
      <w:pPr>
        <w:rPr>
          <w:i/>
          <w:color w:val="2F5496" w:themeColor="accent1" w:themeShade="BF"/>
        </w:rPr>
      </w:pPr>
      <w:r w:rsidRPr="00606B10">
        <w:rPr>
          <w:i/>
          <w:color w:val="2F5496" w:themeColor="accent1" w:themeShade="BF"/>
        </w:rPr>
        <w:t xml:space="preserve">Figure </w:t>
      </w:r>
      <w:r>
        <w:rPr>
          <w:i/>
          <w:color w:val="2F5496" w:themeColor="accent1" w:themeShade="BF"/>
        </w:rPr>
        <w:t>4</w:t>
      </w:r>
      <w:r w:rsidRPr="00606B10">
        <w:rPr>
          <w:i/>
          <w:color w:val="2F5496" w:themeColor="accent1" w:themeShade="BF"/>
        </w:rPr>
        <w:t xml:space="preserve">: </w:t>
      </w:r>
      <w:r>
        <w:rPr>
          <w:i/>
          <w:color w:val="2F5496" w:themeColor="accent1" w:themeShade="BF"/>
        </w:rPr>
        <w:t xml:space="preserve">Relationship </w:t>
      </w:r>
      <w:r w:rsidRPr="00606B10">
        <w:rPr>
          <w:i/>
          <w:color w:val="2F5496" w:themeColor="accent1" w:themeShade="BF"/>
        </w:rPr>
        <w:t>status</w:t>
      </w:r>
    </w:p>
    <w:p w14:paraId="2EC0A93E" w14:textId="77777777" w:rsidR="001702AE" w:rsidRDefault="001702AE" w:rsidP="006B54C7">
      <w:pPr>
        <w:spacing w:after="240"/>
      </w:pPr>
      <w:r>
        <w:rPr>
          <w:noProof/>
        </w:rPr>
        <w:drawing>
          <wp:inline distT="0" distB="0" distL="0" distR="0" wp14:anchorId="5CFFDCF8" wp14:editId="5ECD055C">
            <wp:extent cx="4476750" cy="2647950"/>
            <wp:effectExtent l="0" t="0" r="0" b="0"/>
            <wp:docPr id="13" name="Chart 13">
              <a:extLst xmlns:a="http://schemas.openxmlformats.org/drawingml/2006/main">
                <a:ext uri="{FF2B5EF4-FFF2-40B4-BE49-F238E27FC236}">
                  <a16:creationId xmlns:a16="http://schemas.microsoft.com/office/drawing/2014/main" id="{C4E7F66B-3000-4E47-8504-A191E60790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297236" w14:textId="77777777" w:rsidR="001702AE" w:rsidRDefault="001702AE" w:rsidP="006B54C7">
      <w:pPr>
        <w:pStyle w:val="Heading3"/>
      </w:pPr>
    </w:p>
    <w:p w14:paraId="410F4E6B" w14:textId="77777777" w:rsidR="001702AE" w:rsidRDefault="001702AE" w:rsidP="006B54C7">
      <w:pPr>
        <w:pStyle w:val="Heading3"/>
      </w:pPr>
      <w:bookmarkStart w:id="80" w:name="_Toc131232879"/>
      <w:r>
        <w:t>Parenting and other caring responsibilities</w:t>
      </w:r>
      <w:bookmarkEnd w:id="80"/>
    </w:p>
    <w:p w14:paraId="03403FAF" w14:textId="77777777" w:rsidR="001702AE" w:rsidRDefault="001702AE" w:rsidP="006B54C7">
      <w:pPr>
        <w:spacing w:after="240"/>
      </w:pPr>
      <w:r>
        <w:t xml:space="preserve">Being a single parent or providing financial support to vulnerable adult children is an obvious risk factor for financial stress. </w:t>
      </w:r>
      <w:r>
        <w:rPr>
          <w:szCs w:val="24"/>
        </w:rPr>
        <w:t xml:space="preserve">Our Case File Review found that 40% clients with BNPL debts (n = 94) were either a single parent of children under 18 years or a single parent of vulnerable adult children, many of whom were depending on them for housing and living </w:t>
      </w:r>
      <w:r w:rsidRPr="00166CBD">
        <w:rPr>
          <w:szCs w:val="24"/>
        </w:rPr>
        <w:t>costs</w:t>
      </w:r>
      <w:r w:rsidRPr="000966E4">
        <w:rPr>
          <w:szCs w:val="24"/>
        </w:rPr>
        <w:t>.</w:t>
      </w:r>
      <w:r w:rsidRPr="000966E4">
        <w:rPr>
          <w:rStyle w:val="FootnoteReference"/>
        </w:rPr>
        <w:footnoteReference w:id="10"/>
      </w:r>
      <w:r w:rsidRPr="000966E4">
        <w:t xml:space="preserve"> In comparison, 18% of clients with no BNPL debts (n = 179) were classified as a single parent of children under 18 years or a single parent of dependent, vulnerable adult children, based on information recorded in Case File Notes.</w:t>
      </w:r>
      <w:r w:rsidRPr="000966E4" w:rsidDel="00700097">
        <w:rPr>
          <w:rStyle w:val="FootnoteReference"/>
        </w:rPr>
        <w:t xml:space="preserve"> </w:t>
      </w:r>
    </w:p>
    <w:p w14:paraId="52D7C3C3" w14:textId="77777777" w:rsidR="001702AE" w:rsidRDefault="001702AE" w:rsidP="006B54C7">
      <w:pPr>
        <w:spacing w:after="240"/>
        <w:rPr>
          <w:szCs w:val="24"/>
        </w:rPr>
      </w:pPr>
    </w:p>
    <w:p w14:paraId="3A7DE99B" w14:textId="77777777" w:rsidR="001702AE" w:rsidRDefault="001702AE" w:rsidP="006B54C7">
      <w:pPr>
        <w:rPr>
          <w:szCs w:val="24"/>
        </w:rPr>
      </w:pPr>
      <w:r>
        <w:rPr>
          <w:noProof/>
        </w:rPr>
        <w:lastRenderedPageBreak/>
        <mc:AlternateContent>
          <mc:Choice Requires="wps">
            <w:drawing>
              <wp:anchor distT="45720" distB="45720" distL="114300" distR="114300" simplePos="0" relativeHeight="251672576" behindDoc="0" locked="0" layoutInCell="1" allowOverlap="1" wp14:anchorId="7A539081" wp14:editId="57DA3B9F">
                <wp:simplePos x="0" y="0"/>
                <wp:positionH relativeFrom="column">
                  <wp:posOffset>-4445</wp:posOffset>
                </wp:positionH>
                <wp:positionV relativeFrom="paragraph">
                  <wp:posOffset>0</wp:posOffset>
                </wp:positionV>
                <wp:extent cx="6240145" cy="2196465"/>
                <wp:effectExtent l="0" t="0" r="8255"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145" cy="2196465"/>
                        </a:xfrm>
                        <a:prstGeom prst="rect">
                          <a:avLst/>
                        </a:prstGeom>
                        <a:solidFill>
                          <a:srgbClr val="E6E3D9"/>
                        </a:solidFill>
                        <a:ln w="9525">
                          <a:noFill/>
                          <a:miter lim="800000"/>
                          <a:headEnd/>
                          <a:tailEnd/>
                        </a:ln>
                      </wps:spPr>
                      <wps:txbx>
                        <w:txbxContent>
                          <w:p w14:paraId="41343EF9" w14:textId="77777777" w:rsidR="006B54C7" w:rsidRPr="00693F70" w:rsidRDefault="006B54C7" w:rsidP="00B0567E">
                            <w:pPr>
                              <w:tabs>
                                <w:tab w:val="left" w:pos="142"/>
                              </w:tabs>
                              <w:ind w:left="142" w:hanging="142"/>
                              <w:rPr>
                                <w:rFonts w:eastAsia="Times New Roman" w:cs="Times New Roman"/>
                                <w:b/>
                                <w:szCs w:val="24"/>
                                <w:lang w:eastAsia="en-AU"/>
                              </w:rPr>
                            </w:pPr>
                            <w:r w:rsidRPr="00693F70">
                              <w:rPr>
                                <w:rFonts w:eastAsia="Times New Roman" w:cs="Times New Roman"/>
                                <w:b/>
                                <w:szCs w:val="24"/>
                                <w:lang w:eastAsia="en-AU"/>
                              </w:rPr>
                              <w:tab/>
                              <w:t>Box 5: Case study – Struggling with Buy Now Pay Later debts, family caring responsibilities and loss of income</w:t>
                            </w:r>
                          </w:p>
                          <w:p w14:paraId="0C60AA4E" w14:textId="77777777" w:rsidR="006B54C7" w:rsidRPr="00693F70" w:rsidRDefault="006B54C7" w:rsidP="00B0567E">
                            <w:pPr>
                              <w:ind w:left="142"/>
                              <w:rPr>
                                <w:rFonts w:eastAsia="Times New Roman" w:cs="Times New Roman"/>
                                <w:szCs w:val="24"/>
                                <w:lang w:eastAsia="en-AU"/>
                              </w:rPr>
                            </w:pPr>
                            <w:r w:rsidRPr="00693F70">
                              <w:rPr>
                                <w:rFonts w:eastAsia="Times New Roman" w:cs="Times New Roman"/>
                                <w:szCs w:val="24"/>
                                <w:lang w:eastAsia="en-AU"/>
                              </w:rPr>
                              <w:t>Luke (32 years) is caring for his primary school-age daughter and his mum with a terminal illness, as well as managing his own mental illness. Recently, Luke was injured at work and has been unable to return to work. He receives Carers Allowance and Family Tax Benefit, and his gross annual income is currently below $20,000. Luke says he is struggling to make ends meet, even though his mum helps out with the rent. As well as having multiple BNPL debts amounting to around $2,000, Luke also owes $5,000 on a personal loan for his car and a credit card (which has been referred for debt collection). Luke told his Financial Counsellor he would like help with negotiating repayment terms on his personal loan from a major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39081" id="_x0000_s1031" type="#_x0000_t202" style="position:absolute;margin-left:-.35pt;margin-top:0;width:491.35pt;height:172.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" fillcolor="#e6e3d9" stroked="f">
                <v:textbox>
                  <w:txbxContent>
                    <w:p w14:paraId="41343EF9" w14:textId="77777777" w:rsidR="006B54C7" w:rsidRPr="00693F70" w:rsidRDefault="006B54C7" w:rsidP="00B0567E">
                      <w:pPr>
                        <w:tabs>
                          <w:tab w:val="left" w:pos="142"/>
                        </w:tabs>
                        <w:ind w:left="142" w:hanging="142"/>
                        <w:rPr>
                          <w:rFonts w:eastAsia="Times New Roman" w:cs="Times New Roman"/>
                          <w:b/>
                          <w:szCs w:val="24"/>
                          <w:lang w:eastAsia="en-AU"/>
                        </w:rPr>
                      </w:pPr>
                      <w:r w:rsidRPr="00693F70">
                        <w:rPr>
                          <w:rFonts w:eastAsia="Times New Roman" w:cs="Times New Roman"/>
                          <w:b/>
                          <w:szCs w:val="24"/>
                          <w:lang w:eastAsia="en-AU"/>
                        </w:rPr>
                        <w:tab/>
                        <w:t>Box 5: Case study – Struggling with Buy Now Pay Later debts, family caring responsibilities and loss of income</w:t>
                      </w:r>
                    </w:p>
                    <w:p w14:paraId="0C60AA4E" w14:textId="77777777" w:rsidR="006B54C7" w:rsidRPr="00693F70" w:rsidRDefault="006B54C7" w:rsidP="00B0567E">
                      <w:pPr>
                        <w:ind w:left="142"/>
                        <w:rPr>
                          <w:rFonts w:eastAsia="Times New Roman" w:cs="Times New Roman"/>
                          <w:szCs w:val="24"/>
                          <w:lang w:eastAsia="en-AU"/>
                        </w:rPr>
                      </w:pPr>
                      <w:r w:rsidRPr="00693F70">
                        <w:rPr>
                          <w:rFonts w:eastAsia="Times New Roman" w:cs="Times New Roman"/>
                          <w:szCs w:val="24"/>
                          <w:lang w:eastAsia="en-AU"/>
                        </w:rPr>
                        <w:t>Luke (32 years) is caring for his primary school-age daughter and his mum with a terminal illness, as well as managing his own mental illness. Recently, Luke was injured at work and has been unable to return to work. He receives Carers Allowance and Family Tax Benefit, and his gross annual income is currently below $20,000. Luke says he is struggling to make ends meet, even though his mum helps out with the rent. As well as having multiple BNPL debts amounting to around $2,000, Luke also owes $5,000 on a personal loan for his car and a credit card (which has been referred for debt collection). Luke told his Financial Counsellor he would like help with negotiating repayment terms on his personal loan from a major bank.</w:t>
                      </w:r>
                    </w:p>
                  </w:txbxContent>
                </v:textbox>
                <w10:wrap type="square"/>
              </v:shape>
            </w:pict>
          </mc:Fallback>
        </mc:AlternateContent>
      </w:r>
    </w:p>
    <w:p w14:paraId="0B77C105" w14:textId="77777777" w:rsidR="001702AE" w:rsidRDefault="001702AE" w:rsidP="006B54C7">
      <w:pPr>
        <w:spacing w:after="240"/>
        <w:rPr>
          <w:szCs w:val="24"/>
        </w:rPr>
      </w:pPr>
      <w:r>
        <w:rPr>
          <w:szCs w:val="24"/>
        </w:rPr>
        <w:t>During the Case File Review, we estimated that 13% of clients with BNPL debts (n = 94) had children with disabilities or serious health conditions,</w:t>
      </w:r>
      <w:r w:rsidRPr="00F74EA2">
        <w:rPr>
          <w:szCs w:val="24"/>
        </w:rPr>
        <w:t xml:space="preserve"> </w:t>
      </w:r>
      <w:r>
        <w:rPr>
          <w:szCs w:val="24"/>
        </w:rPr>
        <w:t>according to information recorded in their Case Files.</w:t>
      </w:r>
      <w:r>
        <w:rPr>
          <w:rStyle w:val="FootnoteReference"/>
          <w:szCs w:val="24"/>
        </w:rPr>
        <w:footnoteReference w:id="11"/>
      </w:r>
      <w:r>
        <w:rPr>
          <w:szCs w:val="24"/>
        </w:rPr>
        <w:t xml:space="preserve"> Parenting children with disabilities or serious health conditions can place financial pressure on families through increased health care and travel costs, delays in receiving funding from the National Disability Insurance System, or reductions in parental paid work hours. In comparison, only 2% of clients with no BNPL debts reported being a parent to one or more children with disabilities or serious health conditions.</w:t>
      </w:r>
      <w:r>
        <w:rPr>
          <w:rStyle w:val="FootnoteReference"/>
          <w:szCs w:val="24"/>
        </w:rPr>
        <w:footnoteReference w:id="12"/>
      </w:r>
    </w:p>
    <w:p w14:paraId="0C348AE7" w14:textId="77777777" w:rsidR="001702AE" w:rsidRDefault="001702AE" w:rsidP="006B54C7">
      <w:pPr>
        <w:pStyle w:val="Heading3"/>
      </w:pPr>
      <w:bookmarkStart w:id="81" w:name="_Toc131232880"/>
      <w:r>
        <w:t>Sources of income</w:t>
      </w:r>
      <w:bookmarkEnd w:id="81"/>
    </w:p>
    <w:p w14:paraId="56C1683A" w14:textId="77777777" w:rsidR="001702AE" w:rsidRDefault="001702AE" w:rsidP="006B54C7">
      <w:pPr>
        <w:spacing w:after="240"/>
        <w:rPr>
          <w:szCs w:val="24"/>
        </w:rPr>
      </w:pPr>
      <w:r>
        <w:rPr>
          <w:szCs w:val="24"/>
        </w:rPr>
        <w:t xml:space="preserve">Receiving a wage from paid work, rather than receiving an income support payment, is generally protective against financial stress, partly because rates of income support are low. In recent years, Anglicare Tasmania and other organisations have expressed concern about the inadequacy of income support payments, especially given high residential rents and rising living costs </w:t>
      </w:r>
      <w:r>
        <w:rPr>
          <w:noProof/>
          <w:szCs w:val="24"/>
        </w:rPr>
        <w:t>(ACOSS 2022)</w:t>
      </w:r>
      <w:r>
        <w:rPr>
          <w:szCs w:val="24"/>
        </w:rPr>
        <w:t>. These concerns have given rise to the Raise the Rate campaign.</w:t>
      </w:r>
      <w:r>
        <w:rPr>
          <w:rStyle w:val="FootnoteReference"/>
          <w:szCs w:val="24"/>
        </w:rPr>
        <w:footnoteReference w:id="13"/>
      </w:r>
    </w:p>
    <w:p w14:paraId="54C86EA2" w14:textId="77777777" w:rsidR="001702AE" w:rsidRDefault="001702AE" w:rsidP="006B54C7">
      <w:pPr>
        <w:spacing w:after="240"/>
        <w:rPr>
          <w:szCs w:val="24"/>
        </w:rPr>
      </w:pPr>
      <w:r>
        <w:rPr>
          <w:szCs w:val="24"/>
        </w:rPr>
        <w:t>For clients with BNPL debts (n = 94), 81% received full or part income support payments from the Department of Social Services. The most comm</w:t>
      </w:r>
      <w:r w:rsidRPr="00903264">
        <w:rPr>
          <w:szCs w:val="24"/>
        </w:rPr>
        <w:t>on Centrelink payments were Jobseeker and Disability Support Pension, followed by Parenting Payment, Carers Allowance and Age Pension. In comparison, 48% of clients with no BNPL debts</w:t>
      </w:r>
      <w:r>
        <w:rPr>
          <w:szCs w:val="24"/>
        </w:rPr>
        <w:t xml:space="preserve"> (n = 179)</w:t>
      </w:r>
      <w:r w:rsidRPr="00903264">
        <w:rPr>
          <w:szCs w:val="24"/>
        </w:rPr>
        <w:t xml:space="preserve"> were</w:t>
      </w:r>
      <w:r>
        <w:rPr>
          <w:szCs w:val="24"/>
        </w:rPr>
        <w:t xml:space="preserve"> receiving part or full income support payments.</w:t>
      </w:r>
    </w:p>
    <w:p w14:paraId="28491678" w14:textId="77777777" w:rsidR="001702AE" w:rsidRDefault="001702AE">
      <w:pPr>
        <w:spacing w:before="0" w:after="0"/>
        <w:rPr>
          <w:i/>
          <w:color w:val="2F5496" w:themeColor="accent1" w:themeShade="BF"/>
          <w:szCs w:val="24"/>
        </w:rPr>
      </w:pPr>
      <w:r>
        <w:rPr>
          <w:i/>
          <w:color w:val="2F5496" w:themeColor="accent1" w:themeShade="BF"/>
          <w:szCs w:val="24"/>
        </w:rPr>
        <w:br w:type="page"/>
      </w:r>
    </w:p>
    <w:p w14:paraId="16EFB65D" w14:textId="77777777" w:rsidR="001702AE" w:rsidRPr="001E388B" w:rsidRDefault="001702AE" w:rsidP="006B54C7">
      <w:pPr>
        <w:rPr>
          <w:i/>
          <w:color w:val="2F5496" w:themeColor="accent1" w:themeShade="BF"/>
          <w:szCs w:val="24"/>
        </w:rPr>
      </w:pPr>
      <w:r w:rsidRPr="001E388B">
        <w:rPr>
          <w:i/>
          <w:color w:val="2F5496" w:themeColor="accent1" w:themeShade="BF"/>
          <w:szCs w:val="24"/>
        </w:rPr>
        <w:lastRenderedPageBreak/>
        <w:t xml:space="preserve">Figure </w:t>
      </w:r>
      <w:r>
        <w:rPr>
          <w:i/>
          <w:color w:val="2F5496" w:themeColor="accent1" w:themeShade="BF"/>
          <w:szCs w:val="24"/>
        </w:rPr>
        <w:t>5</w:t>
      </w:r>
      <w:r w:rsidRPr="001E388B">
        <w:rPr>
          <w:i/>
          <w:color w:val="2F5496" w:themeColor="accent1" w:themeShade="BF"/>
          <w:szCs w:val="24"/>
        </w:rPr>
        <w:t xml:space="preserve">: Income </w:t>
      </w:r>
      <w:r>
        <w:rPr>
          <w:i/>
          <w:color w:val="2F5496" w:themeColor="accent1" w:themeShade="BF"/>
          <w:szCs w:val="24"/>
        </w:rPr>
        <w:t>s</w:t>
      </w:r>
      <w:r w:rsidRPr="001E388B">
        <w:rPr>
          <w:i/>
          <w:color w:val="2F5496" w:themeColor="accent1" w:themeShade="BF"/>
          <w:szCs w:val="24"/>
        </w:rPr>
        <w:t xml:space="preserve">upport </w:t>
      </w:r>
      <w:r>
        <w:rPr>
          <w:i/>
          <w:color w:val="2F5496" w:themeColor="accent1" w:themeShade="BF"/>
          <w:szCs w:val="24"/>
        </w:rPr>
        <w:t>p</w:t>
      </w:r>
      <w:r w:rsidRPr="001E388B">
        <w:rPr>
          <w:i/>
          <w:color w:val="2F5496" w:themeColor="accent1" w:themeShade="BF"/>
          <w:szCs w:val="24"/>
        </w:rPr>
        <w:t>ayments</w:t>
      </w:r>
    </w:p>
    <w:p w14:paraId="0533CD2E" w14:textId="77777777" w:rsidR="001702AE" w:rsidRDefault="001702AE" w:rsidP="006B54C7">
      <w:pPr>
        <w:spacing w:after="240"/>
        <w:rPr>
          <w:szCs w:val="24"/>
        </w:rPr>
      </w:pPr>
      <w:r>
        <w:rPr>
          <w:noProof/>
        </w:rPr>
        <w:drawing>
          <wp:inline distT="0" distB="0" distL="0" distR="0" wp14:anchorId="70DF3D55" wp14:editId="3F40D54C">
            <wp:extent cx="4424855" cy="2364827"/>
            <wp:effectExtent l="0" t="0" r="0" b="0"/>
            <wp:docPr id="20" name="Chart 20">
              <a:extLst xmlns:a="http://schemas.openxmlformats.org/drawingml/2006/main">
                <a:ext uri="{FF2B5EF4-FFF2-40B4-BE49-F238E27FC236}">
                  <a16:creationId xmlns:a16="http://schemas.microsoft.com/office/drawing/2014/main" id="{0BF29C76-7BDF-4288-B1FD-457E24DBBB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530473" w14:textId="77777777" w:rsidR="001702AE" w:rsidRDefault="001702AE" w:rsidP="006B54C7">
      <w:pPr>
        <w:pStyle w:val="Heading3"/>
      </w:pPr>
    </w:p>
    <w:p w14:paraId="1EDE8619" w14:textId="77777777" w:rsidR="001702AE" w:rsidRDefault="001702AE" w:rsidP="006B54C7">
      <w:pPr>
        <w:pStyle w:val="Heading3"/>
      </w:pPr>
      <w:bookmarkStart w:id="82" w:name="_Toc131232881"/>
      <w:r>
        <w:t>Employment status</w:t>
      </w:r>
      <w:bookmarkEnd w:id="82"/>
    </w:p>
    <w:p w14:paraId="59CB2A26" w14:textId="77777777" w:rsidR="001702AE" w:rsidRDefault="001702AE" w:rsidP="006B54C7">
      <w:pPr>
        <w:spacing w:after="240"/>
      </w:pPr>
      <w:r>
        <w:t>For clients with BNPL debts (n = 94), 69% were not doing paid work; most commonly, they were classified as ‘unemployed’ (24%) or ‘not working and not looking for work’ (21%). Similarly, 71% of clients with no BNPL debts (n = 179) were not in paid work; they were most commonly ‘not working and not looking for work’ (27%) or ‘unemployed’ (21%).</w:t>
      </w:r>
    </w:p>
    <w:p w14:paraId="621CCF11" w14:textId="77777777" w:rsidR="001702AE" w:rsidRDefault="001702AE" w:rsidP="006B54C7">
      <w:pPr>
        <w:pStyle w:val="Heading3"/>
      </w:pPr>
      <w:bookmarkStart w:id="83" w:name="_Toc131232882"/>
      <w:r w:rsidRPr="00EE28B3">
        <w:t>Homelessness</w:t>
      </w:r>
      <w:bookmarkEnd w:id="83"/>
    </w:p>
    <w:p w14:paraId="0640A229" w14:textId="77777777" w:rsidR="001702AE" w:rsidRDefault="001702AE" w:rsidP="006B54C7">
      <w:pPr>
        <w:spacing w:after="240"/>
      </w:pPr>
      <w:r>
        <w:t xml:space="preserve">For this research, being homeless is defined as: staying in a homelessness or women’s shelter, ‘rough sleeping’ or ‘couch surfing’. For clients with BNPL debts (n = 94), 14% were estimated to be homeless, based on information in their Case Files. For clients with no BNPL debts (n=179), 9% were estimated to be homeless. Homeless clients in both groups were over-represented compared to the Tasmanian population, which had an estimated homelessness rate of 42 per 10,000 (or 0.4%) in 2021 </w:t>
      </w:r>
      <w:r>
        <w:rPr>
          <w:noProof/>
        </w:rPr>
        <w:t>(ABS 2023)</w:t>
      </w:r>
      <w:r>
        <w:t>.</w:t>
      </w:r>
    </w:p>
    <w:p w14:paraId="7899B058" w14:textId="77777777" w:rsidR="001702AE" w:rsidRDefault="001702AE" w:rsidP="006B54C7">
      <w:pPr>
        <w:pStyle w:val="Heading3"/>
      </w:pPr>
      <w:bookmarkStart w:id="84" w:name="_Toc131232883"/>
      <w:r>
        <w:t>Housing tenure</w:t>
      </w:r>
      <w:bookmarkEnd w:id="84"/>
    </w:p>
    <w:p w14:paraId="3B0F1BAD" w14:textId="77777777" w:rsidR="001702AE" w:rsidRDefault="001702AE" w:rsidP="006B54C7">
      <w:pPr>
        <w:spacing w:after="240"/>
      </w:pPr>
      <w:r>
        <w:t>For</w:t>
      </w:r>
      <w:r w:rsidRPr="005F2528">
        <w:t xml:space="preserve"> </w:t>
      </w:r>
      <w:r>
        <w:t>clients with BNPL debts (n = 94), 24%</w:t>
      </w:r>
      <w:r w:rsidRPr="005F2528">
        <w:t xml:space="preserve"> were renting public or social housing</w:t>
      </w:r>
      <w:r>
        <w:t xml:space="preserve">, and </w:t>
      </w:r>
      <w:r w:rsidRPr="005F2528">
        <w:t xml:space="preserve">33% were renting </w:t>
      </w:r>
      <w:r>
        <w:t>privately</w:t>
      </w:r>
      <w:r w:rsidRPr="005F2528">
        <w:t xml:space="preserve">. </w:t>
      </w:r>
      <w:r>
        <w:t>As such, t</w:t>
      </w:r>
      <w:r w:rsidRPr="005F2528">
        <w:t xml:space="preserve">he </w:t>
      </w:r>
      <w:r>
        <w:t>percentage</w:t>
      </w:r>
      <w:r w:rsidRPr="005F2528">
        <w:t xml:space="preserve"> of clients with BNPL debts</w:t>
      </w:r>
      <w:r>
        <w:t xml:space="preserve"> who were</w:t>
      </w:r>
      <w:r w:rsidRPr="005F2528">
        <w:t xml:space="preserve"> renting was 57%. In comparison, 1</w:t>
      </w:r>
      <w:r>
        <w:t>7</w:t>
      </w:r>
      <w:r w:rsidRPr="005F2528">
        <w:t>% of clients with no BNPL debts</w:t>
      </w:r>
      <w:r>
        <w:t xml:space="preserve"> (n = 179)</w:t>
      </w:r>
      <w:r w:rsidRPr="005F2528">
        <w:t xml:space="preserve"> were renting public or social housing and </w:t>
      </w:r>
      <w:r>
        <w:t>31</w:t>
      </w:r>
      <w:r w:rsidRPr="005F2528">
        <w:t>% were renting privately</w:t>
      </w:r>
      <w:r>
        <w:t>,</w:t>
      </w:r>
      <w:r w:rsidRPr="005F2528">
        <w:t xml:space="preserve"> amounting to 4</w:t>
      </w:r>
      <w:r>
        <w:t>8</w:t>
      </w:r>
      <w:r w:rsidRPr="005F2528">
        <w:t xml:space="preserve">% </w:t>
      </w:r>
      <w:r>
        <w:t xml:space="preserve">who were </w:t>
      </w:r>
      <w:r w:rsidRPr="005F2528">
        <w:t xml:space="preserve">renting. </w:t>
      </w:r>
      <w:r>
        <w:t>Both t</w:t>
      </w:r>
      <w:r w:rsidRPr="005F2528">
        <w:t xml:space="preserve">hese figures were </w:t>
      </w:r>
      <w:r>
        <w:t>higher</w:t>
      </w:r>
      <w:r w:rsidRPr="005F2528">
        <w:t xml:space="preserve"> than </w:t>
      </w:r>
      <w:r>
        <w:t>the proportion of the</w:t>
      </w:r>
      <w:r w:rsidRPr="005F2528">
        <w:t xml:space="preserve"> Tasmanian population </w:t>
      </w:r>
      <w:r>
        <w:t xml:space="preserve">who were renting </w:t>
      </w:r>
      <w:r w:rsidRPr="005F2528">
        <w:t>in 2021</w:t>
      </w:r>
      <w:r>
        <w:t>, which was 26%</w:t>
      </w:r>
      <w:r w:rsidRPr="005F2528">
        <w:t xml:space="preserve"> </w:t>
      </w:r>
      <w:r>
        <w:rPr>
          <w:noProof/>
        </w:rPr>
        <w:t>(ABS 2022a)</w:t>
      </w:r>
      <w:r w:rsidRPr="005F2528">
        <w:t>.</w:t>
      </w:r>
      <w:r>
        <w:t xml:space="preserve"> </w:t>
      </w:r>
    </w:p>
    <w:p w14:paraId="4DA5917D" w14:textId="68E21051" w:rsidR="001702AE" w:rsidRDefault="001702AE" w:rsidP="006B54C7">
      <w:pPr>
        <w:spacing w:after="240"/>
      </w:pPr>
      <w:r>
        <w:t>For clients with BNPL debts, 11% were purchasing their home, compared to 22% of clients with no BNPL debts. Only 2% of clients with BNPL debts fully owned their home, compared to 6% of clients with no BNPL debts. In comparison, 33% of Tasmanian private dwellings w</w:t>
      </w:r>
      <w:r w:rsidR="00AF140E">
        <w:t>ere</w:t>
      </w:r>
      <w:r>
        <w:t xml:space="preserve"> owned with a mortgage and 37% were owned outright in 2021 </w:t>
      </w:r>
      <w:r>
        <w:rPr>
          <w:noProof/>
        </w:rPr>
        <w:t>(ABS 2022a)</w:t>
      </w:r>
      <w:r>
        <w:t>.</w:t>
      </w:r>
    </w:p>
    <w:p w14:paraId="63CB59DA" w14:textId="77777777" w:rsidR="001702AE" w:rsidRDefault="001702AE">
      <w:pPr>
        <w:spacing w:before="0" w:after="0"/>
        <w:rPr>
          <w:i/>
          <w:iCs/>
          <w:color w:val="2F5496" w:themeColor="accent1" w:themeShade="BF"/>
        </w:rPr>
      </w:pPr>
      <w:r>
        <w:rPr>
          <w:i/>
          <w:iCs/>
          <w:color w:val="2F5496" w:themeColor="accent1" w:themeShade="BF"/>
        </w:rPr>
        <w:br w:type="page"/>
      </w:r>
    </w:p>
    <w:p w14:paraId="0B42DA30" w14:textId="77777777" w:rsidR="001702AE" w:rsidRDefault="001702AE" w:rsidP="006B54C7">
      <w:pPr>
        <w:rPr>
          <w:i/>
          <w:iCs/>
          <w:color w:val="2F5496" w:themeColor="accent1" w:themeShade="BF"/>
        </w:rPr>
      </w:pPr>
      <w:r w:rsidRPr="00457FF2">
        <w:rPr>
          <w:i/>
          <w:iCs/>
          <w:color w:val="2F5496" w:themeColor="accent1" w:themeShade="BF"/>
        </w:rPr>
        <w:lastRenderedPageBreak/>
        <w:t xml:space="preserve">Figure </w:t>
      </w:r>
      <w:r>
        <w:rPr>
          <w:i/>
          <w:iCs/>
          <w:color w:val="2F5496" w:themeColor="accent1" w:themeShade="BF"/>
        </w:rPr>
        <w:t>6</w:t>
      </w:r>
      <w:r w:rsidRPr="00457FF2">
        <w:rPr>
          <w:i/>
          <w:iCs/>
          <w:color w:val="2F5496" w:themeColor="accent1" w:themeShade="BF"/>
        </w:rPr>
        <w:t xml:space="preserve">: </w:t>
      </w:r>
      <w:r>
        <w:rPr>
          <w:i/>
          <w:iCs/>
          <w:color w:val="2F5496" w:themeColor="accent1" w:themeShade="BF"/>
        </w:rPr>
        <w:t>Housing tenure</w:t>
      </w:r>
    </w:p>
    <w:p w14:paraId="1EB91CAF" w14:textId="77777777" w:rsidR="001702AE" w:rsidRDefault="001702AE" w:rsidP="006B54C7">
      <w:pPr>
        <w:spacing w:after="240"/>
        <w:rPr>
          <w:i/>
          <w:iCs/>
          <w:color w:val="2F5496" w:themeColor="accent1" w:themeShade="BF"/>
          <w:sz w:val="12"/>
          <w:szCs w:val="12"/>
        </w:rPr>
      </w:pPr>
      <w:r>
        <w:rPr>
          <w:noProof/>
        </w:rPr>
        <w:drawing>
          <wp:inline distT="0" distB="0" distL="0" distR="0" wp14:anchorId="3543A258" wp14:editId="7EB7ECB9">
            <wp:extent cx="4572000" cy="2743200"/>
            <wp:effectExtent l="0" t="0" r="3810" b="0"/>
            <wp:docPr id="41" name="Chart 41">
              <a:extLst xmlns:a="http://schemas.openxmlformats.org/drawingml/2006/main">
                <a:ext uri="{FF2B5EF4-FFF2-40B4-BE49-F238E27FC236}">
                  <a16:creationId xmlns:a16="http://schemas.microsoft.com/office/drawing/2014/main" id="{3ADDAEF4-87B6-4C06-8D44-2FD3A70417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8E36B9" w14:textId="77777777" w:rsidR="001702AE" w:rsidRDefault="001702AE" w:rsidP="006B54C7">
      <w:pPr>
        <w:pStyle w:val="Heading3"/>
      </w:pPr>
      <w:bookmarkStart w:id="85" w:name="_Toc131232884"/>
      <w:r>
        <w:t>Family violence</w:t>
      </w:r>
      <w:bookmarkEnd w:id="85"/>
    </w:p>
    <w:p w14:paraId="70D6262E" w14:textId="77777777" w:rsidR="001702AE" w:rsidRDefault="001702AE" w:rsidP="006B54C7">
      <w:pPr>
        <w:spacing w:after="240"/>
        <w:rPr>
          <w:szCs w:val="24"/>
        </w:rPr>
      </w:pPr>
      <w:r>
        <w:t xml:space="preserve">In Tasmania, family violence refers to “violent, abusive or controlling behaviour by a person against their current or former intimate partner” </w:t>
      </w:r>
      <w:r>
        <w:rPr>
          <w:noProof/>
        </w:rPr>
        <w:t>(Tasmanian Government 2019)</w:t>
      </w:r>
      <w:r>
        <w:t>. For this research, family violence is defined more broadly to i</w:t>
      </w:r>
      <w:r>
        <w:rPr>
          <w:szCs w:val="24"/>
        </w:rPr>
        <w:t xml:space="preserve">nclude violence, abuse or controlling behaviour </w:t>
      </w:r>
      <w:r w:rsidRPr="00F57EF2">
        <w:rPr>
          <w:i/>
          <w:iCs/>
          <w:szCs w:val="24"/>
        </w:rPr>
        <w:t xml:space="preserve">by a family member or immediate relative (e.g., an adult child against their parent, a parent </w:t>
      </w:r>
      <w:r>
        <w:rPr>
          <w:i/>
          <w:iCs/>
          <w:szCs w:val="24"/>
        </w:rPr>
        <w:t>against</w:t>
      </w:r>
      <w:r w:rsidRPr="00F57EF2">
        <w:rPr>
          <w:i/>
          <w:iCs/>
          <w:szCs w:val="24"/>
        </w:rPr>
        <w:t xml:space="preserve"> their </w:t>
      </w:r>
      <w:r>
        <w:rPr>
          <w:i/>
          <w:iCs/>
          <w:szCs w:val="24"/>
        </w:rPr>
        <w:t xml:space="preserve">adult </w:t>
      </w:r>
      <w:r w:rsidRPr="00F57EF2">
        <w:rPr>
          <w:i/>
          <w:iCs/>
          <w:szCs w:val="24"/>
        </w:rPr>
        <w:t>child, or between siblings)</w:t>
      </w:r>
      <w:r>
        <w:rPr>
          <w:szCs w:val="24"/>
        </w:rPr>
        <w:t xml:space="preserve">, as well as by a current or former intimate partner. Family violence extends beyond physical and sexual violence and abuse to include economic or </w:t>
      </w:r>
      <w:r w:rsidRPr="000966E4">
        <w:rPr>
          <w:b/>
          <w:color w:val="1598CB"/>
          <w:szCs w:val="24"/>
        </w:rPr>
        <w:t>financial abuse</w:t>
      </w:r>
      <w:r>
        <w:rPr>
          <w:szCs w:val="24"/>
        </w:rPr>
        <w:t xml:space="preserve">, emotional abuse or intimidation, and property damage </w:t>
      </w:r>
      <w:r>
        <w:rPr>
          <w:noProof/>
        </w:rPr>
        <w:t>(Tasmanian Government 2019)</w:t>
      </w:r>
      <w:r>
        <w:rPr>
          <w:szCs w:val="24"/>
        </w:rPr>
        <w:t xml:space="preserve">. Family violence can have serious and long-lasting physical, psychological, social, economic and financial impacts on victim survivors and their children </w:t>
      </w:r>
      <w:r>
        <w:rPr>
          <w:noProof/>
        </w:rPr>
        <w:t>(Tasmanian Government 2019)</w:t>
      </w:r>
      <w:r>
        <w:t>.</w:t>
      </w:r>
    </w:p>
    <w:p w14:paraId="62839DC8" w14:textId="77777777" w:rsidR="001702AE" w:rsidRDefault="001702AE" w:rsidP="006B54C7">
      <w:pPr>
        <w:spacing w:after="360"/>
        <w:rPr>
          <w:szCs w:val="24"/>
        </w:rPr>
      </w:pPr>
      <w:r w:rsidRPr="00423F92">
        <w:rPr>
          <w:noProof/>
        </w:rPr>
        <mc:AlternateContent>
          <mc:Choice Requires="wps">
            <w:drawing>
              <wp:anchor distT="0" distB="0" distL="114300" distR="114300" simplePos="0" relativeHeight="251673600" behindDoc="0" locked="0" layoutInCell="1" allowOverlap="1" wp14:anchorId="71015E7B" wp14:editId="5C927677">
                <wp:simplePos x="0" y="0"/>
                <wp:positionH relativeFrom="column">
                  <wp:posOffset>-73572</wp:posOffset>
                </wp:positionH>
                <wp:positionV relativeFrom="paragraph">
                  <wp:posOffset>1318807</wp:posOffset>
                </wp:positionV>
                <wp:extent cx="6311900" cy="2007235"/>
                <wp:effectExtent l="0" t="0" r="0" b="0"/>
                <wp:wrapTopAndBottom/>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007235"/>
                        </a:xfrm>
                        <a:prstGeom prst="rect">
                          <a:avLst/>
                        </a:prstGeom>
                        <a:solidFill>
                          <a:srgbClr val="E6E3D9"/>
                        </a:solidFill>
                        <a:ln w="9525">
                          <a:noFill/>
                          <a:miter lim="800000"/>
                          <a:headEnd/>
                          <a:tailEnd/>
                        </a:ln>
                      </wps:spPr>
                      <wps:txbx>
                        <w:txbxContent>
                          <w:p w14:paraId="7E99FD4A" w14:textId="77777777" w:rsidR="006B54C7" w:rsidRPr="00903264" w:rsidRDefault="006B54C7" w:rsidP="00B0567E">
                            <w:pPr>
                              <w:spacing w:after="0"/>
                              <w:ind w:left="142"/>
                              <w:rPr>
                                <w:b/>
                                <w:szCs w:val="24"/>
                              </w:rPr>
                            </w:pPr>
                            <w:r w:rsidRPr="00903264">
                              <w:rPr>
                                <w:b/>
                                <w:szCs w:val="24"/>
                              </w:rPr>
                              <w:t>Box 6: Case study – Struggling with</w:t>
                            </w:r>
                            <w:r>
                              <w:rPr>
                                <w:b/>
                                <w:szCs w:val="24"/>
                              </w:rPr>
                              <w:t xml:space="preserve"> Buy Now Pay Later</w:t>
                            </w:r>
                            <w:r w:rsidRPr="00903264">
                              <w:rPr>
                                <w:b/>
                                <w:szCs w:val="24"/>
                              </w:rPr>
                              <w:t xml:space="preserve"> debts and family violence</w:t>
                            </w:r>
                          </w:p>
                          <w:p w14:paraId="7496FCEF" w14:textId="77777777" w:rsidR="006B54C7" w:rsidRPr="00903264" w:rsidRDefault="006B54C7" w:rsidP="00B0567E">
                            <w:pPr>
                              <w:spacing w:after="0"/>
                              <w:ind w:left="142"/>
                              <w:rPr>
                                <w:szCs w:val="24"/>
                              </w:rPr>
                            </w:pPr>
                            <w:r w:rsidRPr="00903264">
                              <w:rPr>
                                <w:szCs w:val="24"/>
                              </w:rPr>
                              <w:t xml:space="preserve">Stephanie is 31 years old. She receives the Disability Support Pension and is at risk of homelessness. Her annual income is $20,001 – $40,000 and she is paying 55% of her net income on board. Stephanie is a victim survivor of intimate partner family </w:t>
                            </w:r>
                            <w:proofErr w:type="gramStart"/>
                            <w:r w:rsidRPr="00903264">
                              <w:rPr>
                                <w:szCs w:val="24"/>
                              </w:rPr>
                              <w:t>violence</w:t>
                            </w:r>
                            <w:proofErr w:type="gramEnd"/>
                            <w:r w:rsidRPr="00903264">
                              <w:rPr>
                                <w:szCs w:val="24"/>
                              </w:rPr>
                              <w:t xml:space="preserve"> </w:t>
                            </w:r>
                            <w:r>
                              <w:rPr>
                                <w:szCs w:val="24"/>
                              </w:rPr>
                              <w:t>and</w:t>
                            </w:r>
                            <w:r w:rsidRPr="00903264">
                              <w:rPr>
                                <w:szCs w:val="24"/>
                              </w:rPr>
                              <w:t xml:space="preserve"> she has been diagnosed with post-traumatic stress disorder. Stephanie has asked her Financial Counsellor for help with debts that her ex-husband made her take out in her name. She owes about $250 to a BNPL provider and nearly $3,000 in credit card debts and payday loans. Some repayments are being automatically deducted from Stephanie’s bank account, leaving her with insufficient funds for other essential expenses, including $700 per month on medication.</w:t>
                            </w:r>
                          </w:p>
                          <w:p w14:paraId="5F72632B" w14:textId="77777777" w:rsidR="006B54C7" w:rsidRDefault="006B54C7" w:rsidP="006B54C7">
                            <w:pPr>
                              <w:spacing w:after="0"/>
                            </w:pPr>
                          </w:p>
                          <w:p w14:paraId="42535CAF" w14:textId="77777777" w:rsidR="006B54C7" w:rsidRDefault="006B54C7" w:rsidP="006B54C7">
                            <w:pPr>
                              <w:spacing w:after="0"/>
                            </w:pPr>
                          </w:p>
                          <w:p w14:paraId="13178D47" w14:textId="77777777" w:rsidR="006B54C7" w:rsidRDefault="006B54C7" w:rsidP="006B54C7">
                            <w:pPr>
                              <w:spacing w:after="0"/>
                            </w:pPr>
                          </w:p>
                        </w:txbxContent>
                      </wps:txbx>
                      <wps:bodyPr rot="0" vert="horz" wrap="square" lIns="91440" tIns="45720" rIns="91440" bIns="45720" anchor="t" anchorCtr="0">
                        <a:noAutofit/>
                      </wps:bodyPr>
                    </wps:wsp>
                  </a:graphicData>
                </a:graphic>
              </wp:anchor>
            </w:drawing>
          </mc:Choice>
          <mc:Fallback>
            <w:pict>
              <v:shape w14:anchorId="71015E7B" id="_x0000_s1032" type="#_x0000_t202" style="position:absolute;margin-left:-5.8pt;margin-top:103.85pt;width:497pt;height:158.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" fillcolor="#e6e3d9" stroked="f">
                <v:textbox>
                  <w:txbxContent>
                    <w:p w14:paraId="7E99FD4A" w14:textId="77777777" w:rsidR="006B54C7" w:rsidRPr="00903264" w:rsidRDefault="006B54C7" w:rsidP="00B0567E">
                      <w:pPr>
                        <w:spacing w:after="0"/>
                        <w:ind w:left="142"/>
                        <w:rPr>
                          <w:b/>
                          <w:szCs w:val="24"/>
                        </w:rPr>
                      </w:pPr>
                      <w:r w:rsidRPr="00903264">
                        <w:rPr>
                          <w:b/>
                          <w:szCs w:val="24"/>
                        </w:rPr>
                        <w:t>Box 6: Case study – Struggling with</w:t>
                      </w:r>
                      <w:r>
                        <w:rPr>
                          <w:b/>
                          <w:szCs w:val="24"/>
                        </w:rPr>
                        <w:t xml:space="preserve"> Buy Now Pay Later</w:t>
                      </w:r>
                      <w:r w:rsidRPr="00903264">
                        <w:rPr>
                          <w:b/>
                          <w:szCs w:val="24"/>
                        </w:rPr>
                        <w:t xml:space="preserve"> debts and family violence</w:t>
                      </w:r>
                    </w:p>
                    <w:p w14:paraId="7496FCEF" w14:textId="77777777" w:rsidR="006B54C7" w:rsidRPr="00903264" w:rsidRDefault="006B54C7" w:rsidP="00B0567E">
                      <w:pPr>
                        <w:spacing w:after="0"/>
                        <w:ind w:left="142"/>
                        <w:rPr>
                          <w:szCs w:val="24"/>
                        </w:rPr>
                      </w:pPr>
                      <w:r w:rsidRPr="00903264">
                        <w:rPr>
                          <w:szCs w:val="24"/>
                        </w:rPr>
                        <w:t xml:space="preserve">Stephanie is 31 years old. She receives the Disability Support Pension and is at risk of homelessness. Her annual income is $20,001 – $40,000 and she is paying 55% of her net income on board. Stephanie is a victim survivor of intimate partner family </w:t>
                      </w:r>
                      <w:proofErr w:type="gramStart"/>
                      <w:r w:rsidRPr="00903264">
                        <w:rPr>
                          <w:szCs w:val="24"/>
                        </w:rPr>
                        <w:t>violence</w:t>
                      </w:r>
                      <w:proofErr w:type="gramEnd"/>
                      <w:r w:rsidRPr="00903264">
                        <w:rPr>
                          <w:szCs w:val="24"/>
                        </w:rPr>
                        <w:t xml:space="preserve"> </w:t>
                      </w:r>
                      <w:r>
                        <w:rPr>
                          <w:szCs w:val="24"/>
                        </w:rPr>
                        <w:t>and</w:t>
                      </w:r>
                      <w:r w:rsidRPr="00903264">
                        <w:rPr>
                          <w:szCs w:val="24"/>
                        </w:rPr>
                        <w:t xml:space="preserve"> she has been diagnosed with post-traumatic stress disorder. Stephanie has asked her Financial Counsellor for help with debts that her ex-husband made her take out in her name. She owes about $250 to a BNPL provider and nearly $3,000 in credit card debts and payday loans. Some repayments are being automatically deducted from Stephanie’s bank account, leaving her with insufficient funds for other essential expenses, including $700 per month on medication.</w:t>
                      </w:r>
                    </w:p>
                    <w:p w14:paraId="5F72632B" w14:textId="77777777" w:rsidR="006B54C7" w:rsidRDefault="006B54C7" w:rsidP="006B54C7">
                      <w:pPr>
                        <w:spacing w:after="0"/>
                      </w:pPr>
                    </w:p>
                    <w:p w14:paraId="42535CAF" w14:textId="77777777" w:rsidR="006B54C7" w:rsidRDefault="006B54C7" w:rsidP="006B54C7">
                      <w:pPr>
                        <w:spacing w:after="0"/>
                      </w:pPr>
                    </w:p>
                    <w:p w14:paraId="13178D47" w14:textId="77777777" w:rsidR="006B54C7" w:rsidRDefault="006B54C7" w:rsidP="006B54C7">
                      <w:pPr>
                        <w:spacing w:after="0"/>
                      </w:pPr>
                    </w:p>
                  </w:txbxContent>
                </v:textbox>
                <w10:wrap type="topAndBottom"/>
              </v:shape>
            </w:pict>
          </mc:Fallback>
        </mc:AlternateContent>
      </w:r>
      <w:r>
        <w:rPr>
          <w:szCs w:val="24"/>
        </w:rPr>
        <w:t>Based on information in Case Files, we estimated that 21% of clients with BNPL debts (n = 94) were recent victim survivors of family violence. (Refer to Figure 7 below.) All of these clients were female. Almost all had experienced intimate partner violence, with a few clients reporting family violence perpetrated by adult children, parents or siblings. In comparison, we estimated that 12% of clients with no BNPL debts (n = 179) were recent victim survivors of family violence, based on information in their Case Files. All but one of these clients was female.</w:t>
      </w:r>
      <w:r>
        <w:rPr>
          <w:rStyle w:val="FootnoteReference"/>
          <w:szCs w:val="24"/>
        </w:rPr>
        <w:footnoteReference w:id="14"/>
      </w:r>
      <w:r w:rsidRPr="00252849">
        <w:rPr>
          <w:noProof/>
        </w:rPr>
        <w:t xml:space="preserve"> </w:t>
      </w:r>
    </w:p>
    <w:p w14:paraId="6E48F139" w14:textId="77777777" w:rsidR="001702AE" w:rsidRPr="00CA1109" w:rsidRDefault="001702AE" w:rsidP="006B54C7">
      <w:pPr>
        <w:rPr>
          <w:i/>
          <w:color w:val="2F5496" w:themeColor="accent1" w:themeShade="BF"/>
        </w:rPr>
      </w:pPr>
      <w:r w:rsidRPr="00CA1109">
        <w:rPr>
          <w:i/>
          <w:color w:val="2F5496" w:themeColor="accent1" w:themeShade="BF"/>
        </w:rPr>
        <w:lastRenderedPageBreak/>
        <w:t>Figure 7: Victim survivors of family violence</w:t>
      </w:r>
    </w:p>
    <w:p w14:paraId="7F5B034D" w14:textId="77777777" w:rsidR="001702AE" w:rsidRDefault="001702AE" w:rsidP="006B54C7">
      <w:r>
        <w:rPr>
          <w:noProof/>
        </w:rPr>
        <w:drawing>
          <wp:inline distT="0" distB="0" distL="0" distR="0" wp14:anchorId="79D78EB7" wp14:editId="5D8AFA5D">
            <wp:extent cx="4114800" cy="2333625"/>
            <wp:effectExtent l="0" t="0" r="0" b="0"/>
            <wp:docPr id="11" name="Chart 11">
              <a:extLst xmlns:a="http://schemas.openxmlformats.org/drawingml/2006/main">
                <a:ext uri="{FF2B5EF4-FFF2-40B4-BE49-F238E27FC236}">
                  <a16:creationId xmlns:a16="http://schemas.microsoft.com/office/drawing/2014/main" id="{3F8173C2-DA72-47DB-847A-D0C9C9B8F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9A9AE1" w14:textId="77777777" w:rsidR="001702AE" w:rsidRDefault="001702AE" w:rsidP="006B54C7">
      <w:pPr>
        <w:pStyle w:val="Heading3"/>
      </w:pPr>
    </w:p>
    <w:p w14:paraId="033497F6" w14:textId="77777777" w:rsidR="001702AE" w:rsidRDefault="001702AE" w:rsidP="006B54C7">
      <w:pPr>
        <w:pStyle w:val="Heading3"/>
      </w:pPr>
      <w:bookmarkStart w:id="86" w:name="_Toc131232885"/>
      <w:r w:rsidRPr="005F5997">
        <w:t>Disabilities</w:t>
      </w:r>
      <w:bookmarkEnd w:id="86"/>
    </w:p>
    <w:p w14:paraId="13B67344" w14:textId="77777777" w:rsidR="001702AE" w:rsidRDefault="001702AE" w:rsidP="006B54C7">
      <w:pPr>
        <w:spacing w:after="240"/>
      </w:pPr>
      <w:r>
        <w:t>As part of data collection, Financial Counsellors ask their clients about any disabilities. Almost half (48%) of clients with BNPL debts who answered this question (n = 67) reported at least one disability, with ‘psychiatric disability’ the most commonly reported.</w:t>
      </w:r>
      <w:r w:rsidRPr="000918A8">
        <w:rPr>
          <w:rStyle w:val="FootnoteReference"/>
        </w:rPr>
        <w:t xml:space="preserve"> </w:t>
      </w:r>
      <w:r>
        <w:t xml:space="preserve">Psychiatric disability may be associated with </w:t>
      </w:r>
      <w:r w:rsidRPr="00DC5E3C">
        <w:t>schizophrenia, affective disorders, anxiety disorders, addictive behaviours, personality disorders, stress</w:t>
      </w:r>
      <w:r>
        <w:t xml:space="preserve"> disorders</w:t>
      </w:r>
      <w:r w:rsidRPr="00DC5E3C">
        <w:t xml:space="preserve">, psychosis, depression and adjustment disorders. </w:t>
      </w:r>
      <w:r>
        <w:rPr>
          <w:noProof/>
        </w:rPr>
        <w:t>(AIHW 2022b)</w:t>
      </w:r>
      <w:r>
        <w:t>.</w:t>
      </w:r>
      <w:r>
        <w:rPr>
          <w:rStyle w:val="FootnoteReference"/>
        </w:rPr>
        <w:footnoteReference w:id="15"/>
      </w:r>
      <w:r w:rsidRPr="00274222">
        <w:t xml:space="preserve"> </w:t>
      </w:r>
      <w:r>
        <w:t xml:space="preserve">For clients with BNPL debts who answered this question (n = 144), 38% reported psychiatric disability (with or without another disability), the same figure as for clients with no BNPL debts. Both figures are more than four times higher than the prevalence of psychosocial disability in Tasmania’s population, which was 8.3% in 2018 </w:t>
      </w:r>
      <w:r>
        <w:rPr>
          <w:noProof/>
        </w:rPr>
        <w:t>(ABS 2020)</w:t>
      </w:r>
      <w:r>
        <w:t>.</w:t>
      </w:r>
      <w:r>
        <w:rPr>
          <w:rStyle w:val="FootnoteReference"/>
        </w:rPr>
        <w:footnoteReference w:id="16"/>
      </w:r>
    </w:p>
    <w:p w14:paraId="5970A257" w14:textId="77777777" w:rsidR="001702AE" w:rsidRPr="00BA55D0" w:rsidRDefault="001702AE" w:rsidP="006B54C7">
      <w:pPr>
        <w:spacing w:after="240"/>
        <w:rPr>
          <w:i/>
          <w:iCs/>
          <w:color w:val="2F5496" w:themeColor="accent1" w:themeShade="BF"/>
        </w:rPr>
      </w:pPr>
      <w:r w:rsidRPr="00BA55D0">
        <w:rPr>
          <w:i/>
          <w:iCs/>
          <w:color w:val="2F5496" w:themeColor="accent1" w:themeShade="BF"/>
        </w:rPr>
        <w:t xml:space="preserve">Table </w:t>
      </w:r>
      <w:r>
        <w:rPr>
          <w:i/>
          <w:iCs/>
          <w:color w:val="2F5496" w:themeColor="accent1" w:themeShade="BF"/>
        </w:rPr>
        <w:t>3</w:t>
      </w:r>
      <w:r w:rsidRPr="00BA55D0">
        <w:rPr>
          <w:i/>
          <w:iCs/>
          <w:color w:val="2F5496" w:themeColor="accent1" w:themeShade="BF"/>
        </w:rPr>
        <w:t>: Self-reported disabilities of clients</w:t>
      </w:r>
    </w:p>
    <w:tbl>
      <w:tblPr>
        <w:tblStyle w:val="PlainTable2"/>
        <w:tblW w:w="9654" w:type="dxa"/>
        <w:tblLook w:val="04A0" w:firstRow="1" w:lastRow="0" w:firstColumn="1" w:lastColumn="0" w:noHBand="0" w:noVBand="1"/>
      </w:tblPr>
      <w:tblGrid>
        <w:gridCol w:w="4536"/>
        <w:gridCol w:w="1602"/>
        <w:gridCol w:w="960"/>
        <w:gridCol w:w="1591"/>
        <w:gridCol w:w="965"/>
      </w:tblGrid>
      <w:tr w:rsidR="001702AE" w:rsidRPr="00E65C65" w14:paraId="2D5079F6" w14:textId="77777777" w:rsidTr="006B54C7">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536" w:type="dxa"/>
            <w:vMerge w:val="restart"/>
            <w:shd w:val="clear" w:color="auto" w:fill="E6E3D9"/>
            <w:noWrap/>
            <w:hideMark/>
          </w:tcPr>
          <w:p w14:paraId="5110BBA5" w14:textId="77777777" w:rsidR="001702AE" w:rsidRPr="00E65C65" w:rsidRDefault="001702AE" w:rsidP="006B54C7">
            <w:pPr>
              <w:spacing w:after="0"/>
              <w:rPr>
                <w:rFonts w:eastAsia="Times New Roman" w:cstheme="minorHAnsi"/>
                <w:bCs w:val="0"/>
                <w:color w:val="000000"/>
                <w:sz w:val="18"/>
                <w:szCs w:val="18"/>
                <w:lang w:eastAsia="en-AU"/>
              </w:rPr>
            </w:pPr>
            <w:r w:rsidRPr="00E65C65">
              <w:rPr>
                <w:rFonts w:eastAsia="Times New Roman" w:cstheme="minorHAnsi"/>
                <w:bCs w:val="0"/>
                <w:color w:val="000000"/>
                <w:sz w:val="18"/>
                <w:szCs w:val="18"/>
                <w:lang w:eastAsia="en-AU"/>
              </w:rPr>
              <w:t>Self-reported disabilities</w:t>
            </w:r>
          </w:p>
        </w:tc>
        <w:tc>
          <w:tcPr>
            <w:tcW w:w="2562" w:type="dxa"/>
            <w:gridSpan w:val="2"/>
            <w:shd w:val="clear" w:color="auto" w:fill="E6E3D9"/>
            <w:noWrap/>
            <w:hideMark/>
          </w:tcPr>
          <w:p w14:paraId="09FB9331" w14:textId="77777777" w:rsidR="001702AE" w:rsidRPr="00E65C65" w:rsidRDefault="001702AE" w:rsidP="006B54C7">
            <w:pPr>
              <w:spacing w:before="6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18"/>
                <w:szCs w:val="18"/>
                <w:lang w:eastAsia="en-AU"/>
              </w:rPr>
            </w:pPr>
            <w:r w:rsidRPr="00E65C65">
              <w:rPr>
                <w:rFonts w:eastAsia="Times New Roman" w:cstheme="minorHAnsi"/>
                <w:bCs w:val="0"/>
                <w:color w:val="000000"/>
                <w:sz w:val="18"/>
                <w:szCs w:val="18"/>
                <w:lang w:eastAsia="en-AU"/>
              </w:rPr>
              <w:t>Clients with BNPL debts</w:t>
            </w:r>
          </w:p>
        </w:tc>
        <w:tc>
          <w:tcPr>
            <w:tcW w:w="2556" w:type="dxa"/>
            <w:gridSpan w:val="2"/>
            <w:shd w:val="clear" w:color="auto" w:fill="E6E3D9"/>
            <w:hideMark/>
          </w:tcPr>
          <w:p w14:paraId="134A8802" w14:textId="77777777" w:rsidR="001702AE" w:rsidRPr="00E65C65" w:rsidRDefault="001702AE" w:rsidP="006B54C7">
            <w:pPr>
              <w:spacing w:before="6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18"/>
                <w:szCs w:val="18"/>
                <w:lang w:eastAsia="en-AU"/>
              </w:rPr>
            </w:pPr>
            <w:r w:rsidRPr="00E65C65">
              <w:rPr>
                <w:rFonts w:eastAsia="Times New Roman" w:cstheme="minorHAnsi"/>
                <w:bCs w:val="0"/>
                <w:color w:val="000000"/>
                <w:sz w:val="18"/>
                <w:szCs w:val="18"/>
                <w:lang w:eastAsia="en-AU"/>
              </w:rPr>
              <w:t>Clients with no BNPL debts</w:t>
            </w:r>
          </w:p>
        </w:tc>
      </w:tr>
      <w:tr w:rsidR="001702AE" w:rsidRPr="00E65C65" w14:paraId="729159ED" w14:textId="77777777" w:rsidTr="006B54C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vMerge/>
            <w:shd w:val="clear" w:color="auto" w:fill="E6E3D9"/>
            <w:hideMark/>
          </w:tcPr>
          <w:p w14:paraId="0363A5EB" w14:textId="77777777" w:rsidR="001702AE" w:rsidRPr="00E65C65" w:rsidRDefault="001702AE" w:rsidP="006B54C7">
            <w:pPr>
              <w:spacing w:after="0"/>
              <w:rPr>
                <w:rFonts w:eastAsia="Times New Roman" w:cstheme="minorHAnsi"/>
                <w:b w:val="0"/>
                <w:bCs w:val="0"/>
                <w:color w:val="000000"/>
                <w:sz w:val="18"/>
                <w:szCs w:val="18"/>
                <w:lang w:eastAsia="en-AU"/>
              </w:rPr>
            </w:pPr>
          </w:p>
        </w:tc>
        <w:tc>
          <w:tcPr>
            <w:tcW w:w="1602" w:type="dxa"/>
            <w:shd w:val="clear" w:color="auto" w:fill="E6E3D9"/>
            <w:noWrap/>
            <w:hideMark/>
          </w:tcPr>
          <w:p w14:paraId="20E0C9CB" w14:textId="77777777" w:rsidR="001702AE" w:rsidRPr="00E65C65" w:rsidRDefault="001702AE" w:rsidP="006B54C7">
            <w:pPr>
              <w:spacing w:before="6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No.</w:t>
            </w:r>
          </w:p>
        </w:tc>
        <w:tc>
          <w:tcPr>
            <w:tcW w:w="960" w:type="dxa"/>
            <w:shd w:val="clear" w:color="auto" w:fill="E6E3D9"/>
            <w:hideMark/>
          </w:tcPr>
          <w:p w14:paraId="6AAA24AB" w14:textId="77777777" w:rsidR="001702AE" w:rsidRPr="00E65C65" w:rsidRDefault="001702AE" w:rsidP="006B54C7">
            <w:pPr>
              <w:spacing w:before="6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w:t>
            </w:r>
          </w:p>
        </w:tc>
        <w:tc>
          <w:tcPr>
            <w:tcW w:w="1591" w:type="dxa"/>
            <w:shd w:val="clear" w:color="auto" w:fill="E6E3D9"/>
            <w:hideMark/>
          </w:tcPr>
          <w:p w14:paraId="1C4DAF9B" w14:textId="77777777" w:rsidR="001702AE" w:rsidRPr="00E65C65" w:rsidRDefault="001702AE" w:rsidP="006B54C7">
            <w:pPr>
              <w:spacing w:before="6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No.</w:t>
            </w:r>
          </w:p>
        </w:tc>
        <w:tc>
          <w:tcPr>
            <w:tcW w:w="965" w:type="dxa"/>
            <w:shd w:val="clear" w:color="auto" w:fill="E6E3D9"/>
            <w:hideMark/>
          </w:tcPr>
          <w:p w14:paraId="6B568DF8" w14:textId="77777777" w:rsidR="001702AE" w:rsidRPr="00E65C65" w:rsidRDefault="001702AE" w:rsidP="006B54C7">
            <w:pPr>
              <w:spacing w:before="6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w:t>
            </w:r>
          </w:p>
        </w:tc>
      </w:tr>
      <w:tr w:rsidR="001702AE" w:rsidRPr="00E65C65" w14:paraId="217B048B" w14:textId="77777777" w:rsidTr="006B54C7">
        <w:trPr>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D33DC99"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Psychiatric</w:t>
            </w:r>
          </w:p>
        </w:tc>
        <w:tc>
          <w:tcPr>
            <w:tcW w:w="1602" w:type="dxa"/>
            <w:noWrap/>
            <w:hideMark/>
          </w:tcPr>
          <w:p w14:paraId="59A2AB07"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24</w:t>
            </w:r>
          </w:p>
        </w:tc>
        <w:tc>
          <w:tcPr>
            <w:tcW w:w="960" w:type="dxa"/>
            <w:noWrap/>
            <w:hideMark/>
          </w:tcPr>
          <w:p w14:paraId="50881664"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33%</w:t>
            </w:r>
          </w:p>
        </w:tc>
        <w:tc>
          <w:tcPr>
            <w:tcW w:w="1591" w:type="dxa"/>
            <w:hideMark/>
          </w:tcPr>
          <w:p w14:paraId="0FCFD4EB"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43</w:t>
            </w:r>
          </w:p>
        </w:tc>
        <w:tc>
          <w:tcPr>
            <w:tcW w:w="965" w:type="dxa"/>
            <w:hideMark/>
          </w:tcPr>
          <w:p w14:paraId="33280600"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30%</w:t>
            </w:r>
          </w:p>
        </w:tc>
      </w:tr>
      <w:tr w:rsidR="001702AE" w:rsidRPr="00E65C65" w14:paraId="26577573" w14:textId="77777777" w:rsidTr="006B54C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76A1A79"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 xml:space="preserve">Psychiatric and intellectual/learning </w:t>
            </w:r>
          </w:p>
        </w:tc>
        <w:tc>
          <w:tcPr>
            <w:tcW w:w="1602" w:type="dxa"/>
            <w:noWrap/>
            <w:hideMark/>
          </w:tcPr>
          <w:p w14:paraId="0C863C7F"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1</w:t>
            </w:r>
          </w:p>
        </w:tc>
        <w:tc>
          <w:tcPr>
            <w:tcW w:w="960" w:type="dxa"/>
            <w:noWrap/>
            <w:hideMark/>
          </w:tcPr>
          <w:p w14:paraId="14CB91E1"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1%</w:t>
            </w:r>
          </w:p>
        </w:tc>
        <w:tc>
          <w:tcPr>
            <w:tcW w:w="1591" w:type="dxa"/>
            <w:hideMark/>
          </w:tcPr>
          <w:p w14:paraId="60A831FD"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3</w:t>
            </w:r>
          </w:p>
        </w:tc>
        <w:tc>
          <w:tcPr>
            <w:tcW w:w="965" w:type="dxa"/>
            <w:hideMark/>
          </w:tcPr>
          <w:p w14:paraId="2F929B2A"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2%</w:t>
            </w:r>
          </w:p>
        </w:tc>
      </w:tr>
      <w:tr w:rsidR="001702AE" w:rsidRPr="00E65C65" w14:paraId="5D243D01" w14:textId="77777777" w:rsidTr="006B54C7">
        <w:trPr>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441726E"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 xml:space="preserve">Psychiatric and physical/diverse </w:t>
            </w:r>
          </w:p>
        </w:tc>
        <w:tc>
          <w:tcPr>
            <w:tcW w:w="1602" w:type="dxa"/>
            <w:noWrap/>
            <w:hideMark/>
          </w:tcPr>
          <w:p w14:paraId="5DCF9B88"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3</w:t>
            </w:r>
          </w:p>
        </w:tc>
        <w:tc>
          <w:tcPr>
            <w:tcW w:w="960" w:type="dxa"/>
            <w:noWrap/>
            <w:hideMark/>
          </w:tcPr>
          <w:p w14:paraId="008EABBE"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4%</w:t>
            </w:r>
          </w:p>
        </w:tc>
        <w:tc>
          <w:tcPr>
            <w:tcW w:w="1591" w:type="dxa"/>
            <w:hideMark/>
          </w:tcPr>
          <w:p w14:paraId="7C5F4ABF"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8</w:t>
            </w:r>
          </w:p>
        </w:tc>
        <w:tc>
          <w:tcPr>
            <w:tcW w:w="965" w:type="dxa"/>
            <w:hideMark/>
          </w:tcPr>
          <w:p w14:paraId="6EC38077"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6%</w:t>
            </w:r>
          </w:p>
        </w:tc>
      </w:tr>
      <w:tr w:rsidR="001702AE" w:rsidRPr="00E65C65" w14:paraId="2C6E20A4" w14:textId="77777777" w:rsidTr="006B54C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2453F3B"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Intellectual/learning</w:t>
            </w:r>
          </w:p>
        </w:tc>
        <w:tc>
          <w:tcPr>
            <w:tcW w:w="1602" w:type="dxa"/>
            <w:noWrap/>
            <w:hideMark/>
          </w:tcPr>
          <w:p w14:paraId="45979B8A"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960" w:type="dxa"/>
            <w:noWrap/>
            <w:hideMark/>
          </w:tcPr>
          <w:p w14:paraId="6436E68E"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1591" w:type="dxa"/>
            <w:hideMark/>
          </w:tcPr>
          <w:p w14:paraId="2937C53B"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8</w:t>
            </w:r>
          </w:p>
        </w:tc>
        <w:tc>
          <w:tcPr>
            <w:tcW w:w="965" w:type="dxa"/>
            <w:hideMark/>
          </w:tcPr>
          <w:p w14:paraId="5B9634A2"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6%</w:t>
            </w:r>
          </w:p>
        </w:tc>
      </w:tr>
      <w:tr w:rsidR="001702AE" w:rsidRPr="00E65C65" w14:paraId="37924725" w14:textId="77777777" w:rsidTr="006B54C7">
        <w:trPr>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7E6FBBD"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Physical/diverse</w:t>
            </w:r>
          </w:p>
        </w:tc>
        <w:tc>
          <w:tcPr>
            <w:tcW w:w="1602" w:type="dxa"/>
            <w:noWrap/>
            <w:hideMark/>
          </w:tcPr>
          <w:p w14:paraId="13543211"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7</w:t>
            </w:r>
          </w:p>
        </w:tc>
        <w:tc>
          <w:tcPr>
            <w:tcW w:w="960" w:type="dxa"/>
            <w:noWrap/>
            <w:hideMark/>
          </w:tcPr>
          <w:p w14:paraId="201176B1"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10%</w:t>
            </w:r>
          </w:p>
        </w:tc>
        <w:tc>
          <w:tcPr>
            <w:tcW w:w="1591" w:type="dxa"/>
            <w:hideMark/>
          </w:tcPr>
          <w:p w14:paraId="590326D6"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17</w:t>
            </w:r>
          </w:p>
        </w:tc>
        <w:tc>
          <w:tcPr>
            <w:tcW w:w="965" w:type="dxa"/>
            <w:hideMark/>
          </w:tcPr>
          <w:p w14:paraId="68F5C4F8"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12%</w:t>
            </w:r>
          </w:p>
        </w:tc>
      </w:tr>
      <w:tr w:rsidR="001702AE" w:rsidRPr="00E65C65" w14:paraId="419D0A60" w14:textId="77777777" w:rsidTr="006B54C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1C0233F"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Physical/diverse and Intellectual/learning</w:t>
            </w:r>
          </w:p>
        </w:tc>
        <w:tc>
          <w:tcPr>
            <w:tcW w:w="1602" w:type="dxa"/>
            <w:noWrap/>
            <w:hideMark/>
          </w:tcPr>
          <w:p w14:paraId="4314E255"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960" w:type="dxa"/>
            <w:noWrap/>
            <w:hideMark/>
          </w:tcPr>
          <w:p w14:paraId="133BA46F"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1591" w:type="dxa"/>
            <w:hideMark/>
          </w:tcPr>
          <w:p w14:paraId="722000BA"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965" w:type="dxa"/>
            <w:hideMark/>
          </w:tcPr>
          <w:p w14:paraId="50C8C792"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1%</w:t>
            </w:r>
          </w:p>
        </w:tc>
      </w:tr>
      <w:tr w:rsidR="001702AE" w:rsidRPr="00E65C65" w14:paraId="5BB4545B" w14:textId="77777777" w:rsidTr="006B54C7">
        <w:trPr>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0A3D2A7"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Sensory/speech</w:t>
            </w:r>
          </w:p>
        </w:tc>
        <w:tc>
          <w:tcPr>
            <w:tcW w:w="1602" w:type="dxa"/>
            <w:noWrap/>
            <w:hideMark/>
          </w:tcPr>
          <w:p w14:paraId="67D518F9"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960" w:type="dxa"/>
            <w:noWrap/>
            <w:hideMark/>
          </w:tcPr>
          <w:p w14:paraId="752BED28"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1591" w:type="dxa"/>
            <w:hideMark/>
          </w:tcPr>
          <w:p w14:paraId="31361C88"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c>
          <w:tcPr>
            <w:tcW w:w="965" w:type="dxa"/>
            <w:hideMark/>
          </w:tcPr>
          <w:p w14:paraId="03F150C5"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0%</w:t>
            </w:r>
          </w:p>
        </w:tc>
      </w:tr>
      <w:tr w:rsidR="001702AE" w:rsidRPr="00E65C65" w14:paraId="6BBB71A4" w14:textId="77777777" w:rsidTr="006B54C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30150924" w14:textId="77777777" w:rsidR="001702AE" w:rsidRPr="00E65C65" w:rsidRDefault="001702AE" w:rsidP="006B54C7">
            <w:pPr>
              <w:spacing w:after="0"/>
              <w:rPr>
                <w:rFonts w:eastAsia="Times New Roman" w:cstheme="minorHAnsi"/>
                <w:color w:val="000000"/>
                <w:sz w:val="18"/>
                <w:szCs w:val="18"/>
                <w:lang w:eastAsia="en-AU"/>
              </w:rPr>
            </w:pPr>
            <w:r w:rsidRPr="00E65C65">
              <w:rPr>
                <w:rFonts w:eastAsia="Times New Roman" w:cstheme="minorHAnsi"/>
                <w:color w:val="000000"/>
                <w:sz w:val="18"/>
                <w:szCs w:val="18"/>
                <w:lang w:eastAsia="en-AU"/>
              </w:rPr>
              <w:t>All disability</w:t>
            </w:r>
          </w:p>
        </w:tc>
        <w:tc>
          <w:tcPr>
            <w:tcW w:w="1602" w:type="dxa"/>
            <w:noWrap/>
            <w:vAlign w:val="center"/>
          </w:tcPr>
          <w:p w14:paraId="320C7B00"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18"/>
                <w:szCs w:val="18"/>
                <w:lang w:eastAsia="en-AU"/>
              </w:rPr>
            </w:pPr>
            <w:r w:rsidRPr="00E65C65">
              <w:rPr>
                <w:rFonts w:eastAsia="Times New Roman" w:cstheme="minorHAnsi"/>
                <w:b/>
                <w:color w:val="000000"/>
                <w:sz w:val="18"/>
                <w:szCs w:val="18"/>
                <w:lang w:eastAsia="en-AU"/>
              </w:rPr>
              <w:t>35</w:t>
            </w:r>
          </w:p>
        </w:tc>
        <w:tc>
          <w:tcPr>
            <w:tcW w:w="960" w:type="dxa"/>
            <w:noWrap/>
            <w:vAlign w:val="center"/>
          </w:tcPr>
          <w:p w14:paraId="23D78F6F"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18"/>
                <w:szCs w:val="18"/>
                <w:lang w:eastAsia="en-AU"/>
              </w:rPr>
            </w:pPr>
            <w:r w:rsidRPr="00E65C65">
              <w:rPr>
                <w:rFonts w:eastAsia="Times New Roman" w:cstheme="minorHAnsi"/>
                <w:b/>
                <w:color w:val="000000"/>
                <w:sz w:val="18"/>
                <w:szCs w:val="18"/>
                <w:lang w:eastAsia="en-AU"/>
              </w:rPr>
              <w:t>48%</w:t>
            </w:r>
          </w:p>
        </w:tc>
        <w:tc>
          <w:tcPr>
            <w:tcW w:w="1591" w:type="dxa"/>
            <w:vAlign w:val="center"/>
          </w:tcPr>
          <w:p w14:paraId="1FA66666"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18"/>
                <w:szCs w:val="18"/>
                <w:lang w:eastAsia="en-AU"/>
              </w:rPr>
            </w:pPr>
            <w:r w:rsidRPr="00E65C65">
              <w:rPr>
                <w:rFonts w:eastAsia="Times New Roman" w:cstheme="minorHAnsi"/>
                <w:b/>
                <w:color w:val="000000"/>
                <w:sz w:val="18"/>
                <w:szCs w:val="18"/>
                <w:lang w:eastAsia="en-AU"/>
              </w:rPr>
              <w:t>79</w:t>
            </w:r>
          </w:p>
        </w:tc>
        <w:tc>
          <w:tcPr>
            <w:tcW w:w="965" w:type="dxa"/>
            <w:vAlign w:val="center"/>
          </w:tcPr>
          <w:p w14:paraId="4DB31F0F"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18"/>
                <w:szCs w:val="18"/>
                <w:lang w:eastAsia="en-AU"/>
              </w:rPr>
            </w:pPr>
            <w:r w:rsidRPr="00E65C65">
              <w:rPr>
                <w:rFonts w:eastAsia="Times New Roman" w:cstheme="minorHAnsi"/>
                <w:b/>
                <w:color w:val="000000"/>
                <w:sz w:val="18"/>
                <w:szCs w:val="18"/>
                <w:lang w:eastAsia="en-AU"/>
              </w:rPr>
              <w:t>55%</w:t>
            </w:r>
          </w:p>
        </w:tc>
      </w:tr>
      <w:tr w:rsidR="001702AE" w:rsidRPr="00E65C65" w14:paraId="6347EEDC" w14:textId="77777777" w:rsidTr="006B54C7">
        <w:trPr>
          <w:trHeight w:val="315"/>
        </w:trPr>
        <w:tc>
          <w:tcPr>
            <w:cnfStyle w:val="001000000000" w:firstRow="0" w:lastRow="0" w:firstColumn="1" w:lastColumn="0" w:oddVBand="0" w:evenVBand="0" w:oddHBand="0" w:evenHBand="0" w:firstRowFirstColumn="0" w:firstRowLastColumn="0" w:lastRowFirstColumn="0" w:lastRowLastColumn="0"/>
            <w:tcW w:w="4536" w:type="dxa"/>
            <w:shd w:val="clear" w:color="auto" w:fill="E6E3D9"/>
            <w:noWrap/>
            <w:hideMark/>
          </w:tcPr>
          <w:p w14:paraId="11038FB3" w14:textId="77777777" w:rsidR="001702AE" w:rsidRPr="00E65C65" w:rsidRDefault="001702AE" w:rsidP="006B54C7">
            <w:pPr>
              <w:spacing w:after="0"/>
              <w:rPr>
                <w:rFonts w:eastAsia="Times New Roman" w:cstheme="minorHAnsi"/>
                <w:bCs w:val="0"/>
                <w:color w:val="000000"/>
                <w:sz w:val="18"/>
                <w:szCs w:val="18"/>
                <w:lang w:eastAsia="en-AU"/>
              </w:rPr>
            </w:pPr>
            <w:r w:rsidRPr="00E65C65">
              <w:rPr>
                <w:rFonts w:eastAsia="Times New Roman" w:cstheme="minorHAnsi"/>
                <w:bCs w:val="0"/>
                <w:color w:val="000000"/>
                <w:sz w:val="18"/>
                <w:szCs w:val="18"/>
                <w:lang w:eastAsia="en-AU"/>
              </w:rPr>
              <w:t xml:space="preserve">Subtotal </w:t>
            </w:r>
          </w:p>
        </w:tc>
        <w:tc>
          <w:tcPr>
            <w:tcW w:w="1602" w:type="dxa"/>
            <w:shd w:val="clear" w:color="auto" w:fill="E6E3D9"/>
            <w:noWrap/>
            <w:hideMark/>
          </w:tcPr>
          <w:p w14:paraId="50AC87E3"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67</w:t>
            </w:r>
          </w:p>
        </w:tc>
        <w:tc>
          <w:tcPr>
            <w:tcW w:w="960" w:type="dxa"/>
            <w:shd w:val="clear" w:color="auto" w:fill="E6E3D9"/>
            <w:noWrap/>
            <w:hideMark/>
          </w:tcPr>
          <w:p w14:paraId="05E602B5"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100%</w:t>
            </w:r>
          </w:p>
        </w:tc>
        <w:tc>
          <w:tcPr>
            <w:tcW w:w="1591" w:type="dxa"/>
            <w:shd w:val="clear" w:color="auto" w:fill="E6E3D9"/>
            <w:hideMark/>
          </w:tcPr>
          <w:p w14:paraId="64029B2A"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144</w:t>
            </w:r>
          </w:p>
        </w:tc>
        <w:tc>
          <w:tcPr>
            <w:tcW w:w="965" w:type="dxa"/>
            <w:shd w:val="clear" w:color="auto" w:fill="E6E3D9"/>
            <w:hideMark/>
          </w:tcPr>
          <w:p w14:paraId="53078A0D"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AU"/>
              </w:rPr>
            </w:pPr>
            <w:r w:rsidRPr="00E65C65">
              <w:rPr>
                <w:rFonts w:eastAsia="Times New Roman" w:cstheme="minorHAnsi"/>
                <w:b/>
                <w:bCs/>
                <w:color w:val="000000"/>
                <w:sz w:val="18"/>
                <w:szCs w:val="18"/>
                <w:lang w:eastAsia="en-AU"/>
              </w:rPr>
              <w:t>100%</w:t>
            </w:r>
          </w:p>
        </w:tc>
      </w:tr>
      <w:tr w:rsidR="001702AE" w:rsidRPr="00E65C65" w14:paraId="6CD154EC" w14:textId="77777777" w:rsidTr="006B54C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shd w:val="clear" w:color="auto" w:fill="E6E3D9"/>
            <w:noWrap/>
            <w:hideMark/>
          </w:tcPr>
          <w:p w14:paraId="59A35B77" w14:textId="77777777" w:rsidR="001702AE" w:rsidRPr="00E65C65" w:rsidRDefault="001702AE" w:rsidP="006B54C7">
            <w:pPr>
              <w:spacing w:after="0"/>
              <w:rPr>
                <w:rFonts w:eastAsia="Times New Roman" w:cstheme="minorHAnsi"/>
                <w:b w:val="0"/>
                <w:color w:val="000000"/>
                <w:sz w:val="18"/>
                <w:szCs w:val="18"/>
                <w:lang w:eastAsia="en-AU"/>
              </w:rPr>
            </w:pPr>
            <w:r w:rsidRPr="00E65C65">
              <w:rPr>
                <w:rFonts w:eastAsia="Times New Roman" w:cstheme="minorHAnsi"/>
                <w:b w:val="0"/>
                <w:color w:val="000000"/>
                <w:sz w:val="18"/>
                <w:szCs w:val="18"/>
                <w:lang w:eastAsia="en-AU"/>
              </w:rPr>
              <w:t>Not stated/inadequately described or not completed</w:t>
            </w:r>
          </w:p>
        </w:tc>
        <w:tc>
          <w:tcPr>
            <w:tcW w:w="1602" w:type="dxa"/>
            <w:shd w:val="clear" w:color="auto" w:fill="E6E3D9"/>
            <w:noWrap/>
            <w:hideMark/>
          </w:tcPr>
          <w:p w14:paraId="6AF8D37F"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27</w:t>
            </w:r>
          </w:p>
        </w:tc>
        <w:tc>
          <w:tcPr>
            <w:tcW w:w="960" w:type="dxa"/>
            <w:shd w:val="clear" w:color="auto" w:fill="E6E3D9"/>
            <w:noWrap/>
            <w:hideMark/>
          </w:tcPr>
          <w:p w14:paraId="66D6A539"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p>
        </w:tc>
        <w:tc>
          <w:tcPr>
            <w:tcW w:w="1591" w:type="dxa"/>
            <w:shd w:val="clear" w:color="auto" w:fill="E6E3D9"/>
            <w:hideMark/>
          </w:tcPr>
          <w:p w14:paraId="538D5FBC"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r w:rsidRPr="00E65C65">
              <w:rPr>
                <w:rFonts w:eastAsia="Times New Roman" w:cstheme="minorHAnsi"/>
                <w:color w:val="000000"/>
                <w:sz w:val="18"/>
                <w:szCs w:val="18"/>
                <w:lang w:eastAsia="en-AU"/>
              </w:rPr>
              <w:t>35</w:t>
            </w:r>
          </w:p>
        </w:tc>
        <w:tc>
          <w:tcPr>
            <w:tcW w:w="965" w:type="dxa"/>
            <w:shd w:val="clear" w:color="auto" w:fill="E6E3D9"/>
            <w:hideMark/>
          </w:tcPr>
          <w:p w14:paraId="719E9BF1" w14:textId="77777777" w:rsidR="001702AE" w:rsidRPr="00E65C65" w:rsidRDefault="001702AE" w:rsidP="006B54C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AU"/>
              </w:rPr>
            </w:pPr>
          </w:p>
        </w:tc>
      </w:tr>
      <w:tr w:rsidR="001702AE" w:rsidRPr="00E65C65" w14:paraId="2C28E041" w14:textId="77777777" w:rsidTr="006B54C7">
        <w:trPr>
          <w:trHeight w:val="315"/>
        </w:trPr>
        <w:tc>
          <w:tcPr>
            <w:cnfStyle w:val="001000000000" w:firstRow="0" w:lastRow="0" w:firstColumn="1" w:lastColumn="0" w:oddVBand="0" w:evenVBand="0" w:oddHBand="0" w:evenHBand="0" w:firstRowFirstColumn="0" w:firstRowLastColumn="0" w:lastRowFirstColumn="0" w:lastRowLastColumn="0"/>
            <w:tcW w:w="4536" w:type="dxa"/>
            <w:shd w:val="clear" w:color="auto" w:fill="E6E3D9"/>
            <w:noWrap/>
          </w:tcPr>
          <w:p w14:paraId="35B3E2FD" w14:textId="77777777" w:rsidR="001702AE" w:rsidRPr="004B0F84" w:rsidRDefault="001702AE" w:rsidP="006B54C7">
            <w:pPr>
              <w:spacing w:after="0"/>
              <w:rPr>
                <w:rFonts w:eastAsia="Times New Roman" w:cstheme="minorHAnsi"/>
                <w:color w:val="000000"/>
                <w:sz w:val="18"/>
                <w:szCs w:val="18"/>
                <w:lang w:eastAsia="en-AU"/>
              </w:rPr>
            </w:pPr>
            <w:r w:rsidRPr="004B0F84">
              <w:rPr>
                <w:rFonts w:eastAsia="Times New Roman" w:cstheme="minorHAnsi"/>
                <w:color w:val="000000"/>
                <w:sz w:val="18"/>
                <w:szCs w:val="18"/>
                <w:lang w:eastAsia="en-AU"/>
              </w:rPr>
              <w:t>TOTAL</w:t>
            </w:r>
          </w:p>
        </w:tc>
        <w:tc>
          <w:tcPr>
            <w:tcW w:w="1602" w:type="dxa"/>
            <w:shd w:val="clear" w:color="auto" w:fill="E6E3D9"/>
            <w:noWrap/>
          </w:tcPr>
          <w:p w14:paraId="5117C41F" w14:textId="77777777" w:rsidR="001702AE" w:rsidRPr="004B0F84"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18"/>
                <w:szCs w:val="18"/>
                <w:lang w:eastAsia="en-AU"/>
              </w:rPr>
            </w:pPr>
            <w:r w:rsidRPr="004B0F84">
              <w:rPr>
                <w:rFonts w:eastAsia="Times New Roman" w:cstheme="minorHAnsi"/>
                <w:b/>
                <w:color w:val="000000"/>
                <w:sz w:val="18"/>
                <w:szCs w:val="18"/>
                <w:lang w:eastAsia="en-AU"/>
              </w:rPr>
              <w:t>94</w:t>
            </w:r>
          </w:p>
        </w:tc>
        <w:tc>
          <w:tcPr>
            <w:tcW w:w="960" w:type="dxa"/>
            <w:shd w:val="clear" w:color="auto" w:fill="E6E3D9"/>
            <w:noWrap/>
          </w:tcPr>
          <w:p w14:paraId="17CBCCA7"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p>
        </w:tc>
        <w:tc>
          <w:tcPr>
            <w:tcW w:w="1591" w:type="dxa"/>
            <w:shd w:val="clear" w:color="auto" w:fill="E6E3D9"/>
          </w:tcPr>
          <w:p w14:paraId="0076F205" w14:textId="77777777" w:rsidR="001702AE" w:rsidRPr="004B0F84" w:rsidDel="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18"/>
                <w:szCs w:val="18"/>
                <w:lang w:eastAsia="en-AU"/>
              </w:rPr>
            </w:pPr>
            <w:r w:rsidRPr="004B0F84">
              <w:rPr>
                <w:rFonts w:eastAsia="Times New Roman" w:cstheme="minorHAnsi"/>
                <w:b/>
                <w:color w:val="000000"/>
                <w:sz w:val="18"/>
                <w:szCs w:val="18"/>
                <w:lang w:eastAsia="en-AU"/>
              </w:rPr>
              <w:t>179</w:t>
            </w:r>
          </w:p>
        </w:tc>
        <w:tc>
          <w:tcPr>
            <w:tcW w:w="965" w:type="dxa"/>
            <w:shd w:val="clear" w:color="auto" w:fill="E6E3D9"/>
          </w:tcPr>
          <w:p w14:paraId="6E2F6B00" w14:textId="77777777" w:rsidR="001702AE" w:rsidRPr="00E65C65" w:rsidRDefault="001702AE" w:rsidP="006B54C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AU"/>
              </w:rPr>
            </w:pPr>
          </w:p>
        </w:tc>
      </w:tr>
    </w:tbl>
    <w:p w14:paraId="372FE95E" w14:textId="77777777" w:rsidR="001702AE" w:rsidRPr="00780BEB" w:rsidRDefault="001702AE" w:rsidP="006B54C7">
      <w:pPr>
        <w:pStyle w:val="Heading3"/>
      </w:pPr>
      <w:bookmarkStart w:id="87" w:name="_Toc131232886"/>
      <w:r w:rsidRPr="005F5997">
        <w:lastRenderedPageBreak/>
        <w:t>Mental illness and mental health difficulties</w:t>
      </w:r>
      <w:bookmarkEnd w:id="87"/>
    </w:p>
    <w:p w14:paraId="44188720" w14:textId="77777777" w:rsidR="001702AE" w:rsidRDefault="001702AE" w:rsidP="006B54C7">
      <w:pPr>
        <w:spacing w:after="240"/>
        <w:rPr>
          <w:rFonts w:cstheme="minorHAnsi"/>
        </w:rPr>
      </w:pPr>
      <w:r>
        <w:rPr>
          <w:rFonts w:ascii="Calibri" w:hAnsi="Calibri" w:cs="Calibri"/>
        </w:rPr>
        <w:t xml:space="preserve">For the purposes of this research, </w:t>
      </w:r>
      <w:r w:rsidRPr="00BB26FD">
        <w:rPr>
          <w:rFonts w:ascii="Calibri" w:hAnsi="Calibri" w:cs="Calibri"/>
        </w:rPr>
        <w:t xml:space="preserve">mental illness </w:t>
      </w:r>
      <w:r>
        <w:rPr>
          <w:rFonts w:ascii="Calibri" w:hAnsi="Calibri" w:cs="Calibri"/>
        </w:rPr>
        <w:t>is defined as</w:t>
      </w:r>
      <w:r w:rsidRPr="00BB26FD">
        <w:rPr>
          <w:rFonts w:ascii="Calibri" w:hAnsi="Calibri" w:cs="Calibri"/>
        </w:rPr>
        <w:t xml:space="preserve"> </w:t>
      </w:r>
      <w:r>
        <w:rPr>
          <w:rFonts w:ascii="Calibri" w:hAnsi="Calibri" w:cs="Calibri"/>
        </w:rPr>
        <w:t>“</w:t>
      </w:r>
      <w:r w:rsidRPr="00BB26FD">
        <w:rPr>
          <w:rFonts w:ascii="Calibri" w:hAnsi="Calibri" w:cs="Calibri"/>
        </w:rPr>
        <w:t>a clinically diagnosable disorder that significantly interferes with a person’s cognitive, emotional or social abilities</w:t>
      </w:r>
      <w:r>
        <w:rPr>
          <w:rFonts w:ascii="Calibri" w:hAnsi="Calibri" w:cs="Calibri"/>
        </w:rPr>
        <w:t>”</w:t>
      </w:r>
      <w:r w:rsidRPr="00274222">
        <w:t xml:space="preserve"> </w:t>
      </w:r>
      <w:r>
        <w:rPr>
          <w:rFonts w:ascii="Calibri" w:hAnsi="Calibri" w:cs="Calibri"/>
          <w:noProof/>
        </w:rPr>
        <w:t>(AIHW 2022a)</w:t>
      </w:r>
      <w:r>
        <w:rPr>
          <w:rFonts w:ascii="Calibri" w:hAnsi="Calibri" w:cs="Calibri"/>
        </w:rPr>
        <w:t>.</w:t>
      </w:r>
      <w:r w:rsidRPr="00765374">
        <w:rPr>
          <w:rStyle w:val="FootnoteReference"/>
          <w:rFonts w:cstheme="minorHAnsi"/>
        </w:rPr>
        <w:t xml:space="preserve"> </w:t>
      </w:r>
      <w:r>
        <w:rPr>
          <w:rFonts w:ascii="Calibri" w:hAnsi="Calibri" w:cs="Calibri"/>
        </w:rPr>
        <w:t xml:space="preserve">This definition </w:t>
      </w:r>
      <w:r w:rsidRPr="00BB26FD">
        <w:rPr>
          <w:rFonts w:ascii="Calibri" w:hAnsi="Calibri" w:cs="Calibri"/>
        </w:rPr>
        <w:t>covers a range of illnesses</w:t>
      </w:r>
      <w:r>
        <w:rPr>
          <w:rFonts w:ascii="Calibri" w:hAnsi="Calibri" w:cs="Calibri"/>
        </w:rPr>
        <w:t>,</w:t>
      </w:r>
      <w:r w:rsidRPr="00BB26FD">
        <w:rPr>
          <w:rFonts w:ascii="Calibri" w:hAnsi="Calibri" w:cs="Calibri"/>
        </w:rPr>
        <w:t xml:space="preserve"> including anxiety disorders, affective disorders, psychotic disorders and substance use disorders</w:t>
      </w:r>
      <w:r>
        <w:rPr>
          <w:rFonts w:ascii="Calibri" w:hAnsi="Calibri" w:cs="Calibri"/>
        </w:rPr>
        <w:t xml:space="preserve"> </w:t>
      </w:r>
      <w:r>
        <w:rPr>
          <w:rFonts w:cstheme="minorHAnsi"/>
          <w:noProof/>
        </w:rPr>
        <w:t>(AIHW 2022a)</w:t>
      </w:r>
      <w:r>
        <w:rPr>
          <w:rFonts w:cstheme="minorHAnsi"/>
        </w:rPr>
        <w:t xml:space="preserve">. It is also </w:t>
      </w:r>
      <w:r>
        <w:rPr>
          <w:rFonts w:ascii="Calibri" w:hAnsi="Calibri" w:cs="Calibri"/>
        </w:rPr>
        <w:t xml:space="preserve">possible to experience harm from mental health difficulties which don’t meet the threshold for a diagnosis of mental illness </w:t>
      </w:r>
      <w:r>
        <w:rPr>
          <w:rFonts w:cstheme="minorHAnsi"/>
          <w:noProof/>
        </w:rPr>
        <w:t>(AIHW 2022a)</w:t>
      </w:r>
      <w:r>
        <w:rPr>
          <w:rFonts w:cstheme="minorHAnsi"/>
        </w:rPr>
        <w:t>.</w:t>
      </w:r>
    </w:p>
    <w:p w14:paraId="7C04B781" w14:textId="77777777" w:rsidR="001702AE" w:rsidRDefault="001702AE" w:rsidP="006B54C7">
      <w:pPr>
        <w:spacing w:after="240"/>
      </w:pPr>
      <w:r w:rsidRPr="00FB502E">
        <w:rPr>
          <w:noProof/>
          <w:sz w:val="22"/>
        </w:rPr>
        <mc:AlternateContent>
          <mc:Choice Requires="wps">
            <w:drawing>
              <wp:anchor distT="45720" distB="45720" distL="114300" distR="114300" simplePos="0" relativeHeight="251667456" behindDoc="0" locked="0" layoutInCell="1" allowOverlap="1" wp14:anchorId="37B3B39A" wp14:editId="03FDF16B">
                <wp:simplePos x="0" y="0"/>
                <wp:positionH relativeFrom="column">
                  <wp:posOffset>0</wp:posOffset>
                </wp:positionH>
                <wp:positionV relativeFrom="paragraph">
                  <wp:posOffset>1165860</wp:posOffset>
                </wp:positionV>
                <wp:extent cx="6221730" cy="22174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1730" cy="2217420"/>
                        </a:xfrm>
                        <a:prstGeom prst="rect">
                          <a:avLst/>
                        </a:prstGeom>
                        <a:solidFill>
                          <a:srgbClr val="E6E3D9"/>
                        </a:solidFill>
                        <a:ln w="9525">
                          <a:noFill/>
                          <a:miter lim="800000"/>
                          <a:headEnd/>
                          <a:tailEnd/>
                        </a:ln>
                      </wps:spPr>
                      <wps:txbx>
                        <w:txbxContent>
                          <w:p w14:paraId="7F515EDF" w14:textId="77777777" w:rsidR="006B54C7" w:rsidRPr="00903264" w:rsidRDefault="006B54C7" w:rsidP="00B0567E">
                            <w:pPr>
                              <w:ind w:firstLine="142"/>
                              <w:rPr>
                                <w:b/>
                                <w:szCs w:val="24"/>
                              </w:rPr>
                            </w:pPr>
                            <w:r w:rsidRPr="00903264">
                              <w:rPr>
                                <w:b/>
                                <w:szCs w:val="24"/>
                              </w:rPr>
                              <w:t>Box 7: Case study – Struggling with B</w:t>
                            </w:r>
                            <w:r>
                              <w:rPr>
                                <w:b/>
                                <w:szCs w:val="24"/>
                              </w:rPr>
                              <w:t>uy Now Pay Later</w:t>
                            </w:r>
                            <w:r w:rsidRPr="00903264">
                              <w:rPr>
                                <w:b/>
                                <w:szCs w:val="24"/>
                              </w:rPr>
                              <w:t xml:space="preserve"> debts and mental illness</w:t>
                            </w:r>
                          </w:p>
                          <w:p w14:paraId="6FB17E2E" w14:textId="77777777" w:rsidR="006B54C7" w:rsidRPr="00903264" w:rsidRDefault="006B54C7" w:rsidP="006B54C7">
                            <w:pPr>
                              <w:ind w:left="142"/>
                              <w:rPr>
                                <w:rFonts w:cstheme="minorHAnsi"/>
                                <w:szCs w:val="24"/>
                              </w:rPr>
                            </w:pPr>
                            <w:r w:rsidRPr="00903264">
                              <w:rPr>
                                <w:rFonts w:cstheme="minorHAnsi"/>
                                <w:szCs w:val="24"/>
                              </w:rPr>
                              <w:t xml:space="preserve">Sarah is 45 years old and a single parent. She reports that she has bipolar disorder and two children with physical or neurocognitive disabilities. Sarah performs caring and home duties, and receives Disability Support Pension and Carers Allowance. Her gross annual income is below $40,000. Sarah says that during her manic episodes she makes poor spending decisions, including paying for items with BNPL. She owes $17,500 on two credit cards and several BNPL accounts. Sarah says she opened these BNPL accounts easily as the providers didn’t do any credit or income checks on her. Sarah told her Financial Counsellor that she has been struggling with unmanageable debt for about a year; she continues to enter into hardship arrangements with credit providers, but is unable to catch up and always struggles financially. </w:t>
                            </w:r>
                          </w:p>
                          <w:p w14:paraId="07429D94" w14:textId="77777777" w:rsidR="006B54C7" w:rsidRDefault="006B54C7" w:rsidP="006B54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3B39A" id="_x0000_s1033" type="#_x0000_t202" style="position:absolute;margin-left:0;margin-top:91.8pt;width:489.9pt;height:174.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" fillcolor="#e6e3d9" stroked="f">
                <v:textbox>
                  <w:txbxContent>
                    <w:p w14:paraId="7F515EDF" w14:textId="77777777" w:rsidR="006B54C7" w:rsidRPr="00903264" w:rsidRDefault="006B54C7" w:rsidP="00B0567E">
                      <w:pPr>
                        <w:ind w:firstLine="142"/>
                        <w:rPr>
                          <w:b/>
                          <w:szCs w:val="24"/>
                        </w:rPr>
                      </w:pPr>
                      <w:r w:rsidRPr="00903264">
                        <w:rPr>
                          <w:b/>
                          <w:szCs w:val="24"/>
                        </w:rPr>
                        <w:t>Box 7: Case study – Struggling with B</w:t>
                      </w:r>
                      <w:r>
                        <w:rPr>
                          <w:b/>
                          <w:szCs w:val="24"/>
                        </w:rPr>
                        <w:t>uy Now Pay Later</w:t>
                      </w:r>
                      <w:r w:rsidRPr="00903264">
                        <w:rPr>
                          <w:b/>
                          <w:szCs w:val="24"/>
                        </w:rPr>
                        <w:t xml:space="preserve"> debts and mental illness</w:t>
                      </w:r>
                    </w:p>
                    <w:p w14:paraId="6FB17E2E" w14:textId="77777777" w:rsidR="006B54C7" w:rsidRPr="00903264" w:rsidRDefault="006B54C7" w:rsidP="006B54C7">
                      <w:pPr>
                        <w:ind w:left="142"/>
                        <w:rPr>
                          <w:rFonts w:cstheme="minorHAnsi"/>
                          <w:szCs w:val="24"/>
                        </w:rPr>
                      </w:pPr>
                      <w:r w:rsidRPr="00903264">
                        <w:rPr>
                          <w:rFonts w:cstheme="minorHAnsi"/>
                          <w:szCs w:val="24"/>
                        </w:rPr>
                        <w:t xml:space="preserve">Sarah is 45 years old and a single parent. She reports that she has bipolar disorder and two children with physical or neurocognitive disabilities. Sarah performs caring and home duties, and receives Disability Support Pension and Carers Allowance. Her gross annual income is below $40,000. Sarah says that during her manic episodes she makes poor spending decisions, including paying for items with BNPL. She owes $17,500 on two credit cards and several BNPL accounts. Sarah says she opened these BNPL accounts easily as the providers didn’t do any credit or income checks on her. Sarah told her Financial Counsellor that she has been struggling with unmanageable debt for about a year; she continues to enter into hardship arrangements with credit providers, but is unable to catch up and always struggles financially. </w:t>
                      </w:r>
                    </w:p>
                    <w:p w14:paraId="07429D94" w14:textId="77777777" w:rsidR="006B54C7" w:rsidRDefault="006B54C7" w:rsidP="006B54C7"/>
                  </w:txbxContent>
                </v:textbox>
                <w10:wrap type="square"/>
              </v:shape>
            </w:pict>
          </mc:Fallback>
        </mc:AlternateContent>
      </w:r>
      <w:r>
        <w:t>In addition to those who reported ‘psychiatric’ disability, we</w:t>
      </w:r>
      <w:r w:rsidRPr="00FB502E">
        <w:t xml:space="preserve"> </w:t>
      </w:r>
      <w:r>
        <w:t>estimated</w:t>
      </w:r>
      <w:r w:rsidRPr="00FB502E">
        <w:t xml:space="preserve"> that 1</w:t>
      </w:r>
      <w:r>
        <w:t>3</w:t>
      </w:r>
      <w:r w:rsidRPr="00FB502E">
        <w:t xml:space="preserve">% of clients with BNPL debts </w:t>
      </w:r>
      <w:r>
        <w:t>(n = 94) reported mental illness or difficulties, based on information recorded in their Case Files</w:t>
      </w:r>
      <w:r w:rsidRPr="00FB502E">
        <w:t>.</w:t>
      </w:r>
      <w:r>
        <w:t xml:space="preserve"> These clients most frequently reported </w:t>
      </w:r>
      <w:r>
        <w:rPr>
          <w:rFonts w:cstheme="minorHAnsi"/>
        </w:rPr>
        <w:t>depression or anxiety, or referred more broadly to experiencing mental health difficulties.</w:t>
      </w:r>
      <w:r>
        <w:rPr>
          <w:rStyle w:val="FootnoteReference"/>
          <w:rFonts w:cstheme="minorHAnsi"/>
        </w:rPr>
        <w:footnoteReference w:id="17"/>
      </w:r>
      <w:r>
        <w:t xml:space="preserve"> For clients with no BNPL debts, we classified 12% of clients as reporting mental illness or difficulties, in addition to those who reported psychiatric disability.</w:t>
      </w:r>
      <w:r>
        <w:rPr>
          <w:rStyle w:val="FootnoteReference"/>
        </w:rPr>
        <w:footnoteReference w:id="18"/>
      </w:r>
      <w:bookmarkStart w:id="88" w:name="_Hlk129537042"/>
    </w:p>
    <w:bookmarkEnd w:id="88"/>
    <w:p w14:paraId="5C00CABF" w14:textId="77777777" w:rsidR="001702AE" w:rsidRPr="00E604DB" w:rsidRDefault="001702AE" w:rsidP="006B54C7">
      <w:pPr>
        <w:spacing w:after="0"/>
      </w:pPr>
    </w:p>
    <w:p w14:paraId="256ED708" w14:textId="77777777" w:rsidR="001702AE" w:rsidRDefault="001702AE">
      <w:pPr>
        <w:pStyle w:val="Heading3"/>
      </w:pPr>
      <w:bookmarkStart w:id="89" w:name="_Toc131232887"/>
      <w:r>
        <w:t>Gambling harm</w:t>
      </w:r>
      <w:bookmarkEnd w:id="89"/>
    </w:p>
    <w:p w14:paraId="283C18FC" w14:textId="77777777" w:rsidR="001702AE" w:rsidRDefault="001702AE" w:rsidP="006B54C7">
      <w:pPr>
        <w:spacing w:after="240"/>
        <w:rPr>
          <w:rFonts w:cstheme="minorHAnsi"/>
          <w:color w:val="332C28"/>
          <w:shd w:val="clear" w:color="auto" w:fill="FFFFFF"/>
        </w:rPr>
      </w:pPr>
      <w:r w:rsidRPr="008D6C19">
        <w:rPr>
          <w:rFonts w:cstheme="minorHAnsi"/>
          <w:b/>
          <w:color w:val="248EB9"/>
          <w:shd w:val="clear" w:color="auto" w:fill="FFFFFF"/>
        </w:rPr>
        <w:t>Gambling harm</w:t>
      </w:r>
      <w:r w:rsidRPr="00A25CA0">
        <w:rPr>
          <w:rFonts w:cstheme="minorHAnsi"/>
          <w:color w:val="248EB9"/>
          <w:shd w:val="clear" w:color="auto" w:fill="FFFFFF"/>
        </w:rPr>
        <w:t xml:space="preserve"> </w:t>
      </w:r>
      <w:r w:rsidRPr="00694662">
        <w:rPr>
          <w:rFonts w:cstheme="minorHAnsi"/>
          <w:color w:val="332C28"/>
          <w:shd w:val="clear" w:color="auto" w:fill="FFFFFF"/>
        </w:rPr>
        <w:t>is</w:t>
      </w:r>
      <w:r>
        <w:rPr>
          <w:rFonts w:cstheme="minorHAnsi"/>
          <w:color w:val="332C28"/>
          <w:shd w:val="clear" w:color="auto" w:fill="FFFFFF"/>
        </w:rPr>
        <w:t xml:space="preserve"> defined</w:t>
      </w:r>
      <w:r w:rsidRPr="00694662">
        <w:rPr>
          <w:rFonts w:cstheme="minorHAnsi"/>
          <w:color w:val="332C28"/>
          <w:shd w:val="clear" w:color="auto" w:fill="FFFFFF"/>
        </w:rPr>
        <w:t xml:space="preserve"> </w:t>
      </w:r>
      <w:r>
        <w:rPr>
          <w:rFonts w:cstheme="minorHAnsi"/>
          <w:color w:val="332C28"/>
          <w:shd w:val="clear" w:color="auto" w:fill="FFFFFF"/>
        </w:rPr>
        <w:t>as “</w:t>
      </w:r>
      <w:r w:rsidRPr="00694662">
        <w:rPr>
          <w:rFonts w:cstheme="minorHAnsi"/>
          <w:color w:val="332C28"/>
          <w:shd w:val="clear" w:color="auto" w:fill="FFFFFF"/>
        </w:rPr>
        <w:t>any negative consequence experienced by an individual or members of their social network because of participation in gambling</w:t>
      </w:r>
      <w:r>
        <w:rPr>
          <w:rFonts w:cstheme="minorHAnsi"/>
          <w:color w:val="332C28"/>
          <w:shd w:val="clear" w:color="auto" w:fill="FFFFFF"/>
        </w:rPr>
        <w:t>”</w:t>
      </w:r>
      <w:r w:rsidRPr="00851242">
        <w:t xml:space="preserve"> </w:t>
      </w:r>
      <w:r>
        <w:rPr>
          <w:rFonts w:cstheme="minorHAnsi"/>
          <w:noProof/>
          <w:color w:val="332C28"/>
          <w:shd w:val="clear" w:color="auto" w:fill="FFFFFF"/>
        </w:rPr>
        <w:t>(Boyle et al. 2021)</w:t>
      </w:r>
      <w:r>
        <w:rPr>
          <w:rFonts w:cstheme="minorHAnsi"/>
          <w:color w:val="332C28"/>
          <w:shd w:val="clear" w:color="auto" w:fill="FFFFFF"/>
        </w:rPr>
        <w:t>. For this research, clients were classified as experiencing gambling harms if their Case File included information that they: had reported gambling harm themselves; were engaged with a gambling support service; had suffered significant financial loss arising from an intimate partner’s gambling behaviour; or had been imprisoned for gambling-related crimes.</w:t>
      </w:r>
    </w:p>
    <w:p w14:paraId="2497558A" w14:textId="77777777" w:rsidR="001702AE" w:rsidRDefault="001702AE" w:rsidP="006B54C7">
      <w:pPr>
        <w:spacing w:after="240"/>
        <w:rPr>
          <w:rFonts w:asciiTheme="majorHAnsi" w:eastAsiaTheme="majorEastAsia" w:hAnsiTheme="majorHAnsi" w:cstheme="majorBidi"/>
          <w:b/>
          <w:color w:val="2F5496" w:themeColor="accent1" w:themeShade="BF"/>
          <w:szCs w:val="32"/>
        </w:rPr>
      </w:pPr>
      <w:r w:rsidRPr="00FB502E">
        <w:rPr>
          <w:rFonts w:cstheme="minorHAnsi"/>
          <w:color w:val="332C28"/>
          <w:shd w:val="clear" w:color="auto" w:fill="FFFFFF"/>
        </w:rPr>
        <w:t xml:space="preserve">For clients with BNPL debts, </w:t>
      </w:r>
      <w:r>
        <w:rPr>
          <w:rFonts w:cstheme="minorHAnsi"/>
          <w:color w:val="332C28"/>
          <w:shd w:val="clear" w:color="auto" w:fill="FFFFFF"/>
        </w:rPr>
        <w:t xml:space="preserve">we estimated that </w:t>
      </w:r>
      <w:r w:rsidRPr="00FB502E">
        <w:rPr>
          <w:rFonts w:cstheme="minorHAnsi"/>
          <w:color w:val="332C28"/>
          <w:shd w:val="clear" w:color="auto" w:fill="FFFFFF"/>
        </w:rPr>
        <w:t>7%</w:t>
      </w:r>
      <w:r>
        <w:rPr>
          <w:rFonts w:cstheme="minorHAnsi"/>
          <w:color w:val="332C28"/>
          <w:shd w:val="clear" w:color="auto" w:fill="FFFFFF"/>
        </w:rPr>
        <w:t xml:space="preserve"> had experienced</w:t>
      </w:r>
      <w:r w:rsidRPr="00FB502E">
        <w:rPr>
          <w:rFonts w:cstheme="minorHAnsi"/>
          <w:color w:val="332C28"/>
          <w:shd w:val="clear" w:color="auto" w:fill="FFFFFF"/>
        </w:rPr>
        <w:t xml:space="preserve"> gambling harm</w:t>
      </w:r>
      <w:r>
        <w:rPr>
          <w:rFonts w:cstheme="minorHAnsi"/>
          <w:color w:val="332C28"/>
          <w:shd w:val="clear" w:color="auto" w:fill="FFFFFF"/>
        </w:rPr>
        <w:t>, based on information recorded in their Case Files</w:t>
      </w:r>
      <w:r w:rsidRPr="00FB502E">
        <w:rPr>
          <w:rFonts w:cstheme="minorHAnsi"/>
          <w:color w:val="332C28"/>
          <w:shd w:val="clear" w:color="auto" w:fill="FFFFFF"/>
        </w:rPr>
        <w:t xml:space="preserve">. In comparison, only </w:t>
      </w:r>
      <w:r>
        <w:rPr>
          <w:rFonts w:cstheme="minorHAnsi"/>
          <w:color w:val="332C28"/>
          <w:shd w:val="clear" w:color="auto" w:fill="FFFFFF"/>
        </w:rPr>
        <w:t>4</w:t>
      </w:r>
      <w:r w:rsidRPr="00FB502E">
        <w:rPr>
          <w:rFonts w:cstheme="minorHAnsi"/>
          <w:color w:val="332C28"/>
          <w:shd w:val="clear" w:color="auto" w:fill="FFFFFF"/>
        </w:rPr>
        <w:t xml:space="preserve">% of clients with no BNPL debts </w:t>
      </w:r>
      <w:r>
        <w:rPr>
          <w:rFonts w:cstheme="minorHAnsi"/>
          <w:color w:val="332C28"/>
          <w:shd w:val="clear" w:color="auto" w:fill="FFFFFF"/>
        </w:rPr>
        <w:t xml:space="preserve">had experienced harms from their own or their intimate partner’s </w:t>
      </w:r>
      <w:r w:rsidRPr="00FB502E">
        <w:rPr>
          <w:rFonts w:cstheme="minorHAnsi"/>
          <w:color w:val="332C28"/>
          <w:shd w:val="clear" w:color="auto" w:fill="FFFFFF"/>
        </w:rPr>
        <w:t xml:space="preserve">gambling </w:t>
      </w:r>
      <w:r>
        <w:rPr>
          <w:rFonts w:cstheme="minorHAnsi"/>
          <w:color w:val="332C28"/>
          <w:shd w:val="clear" w:color="auto" w:fill="FFFFFF"/>
        </w:rPr>
        <w:t>behaviour, based on information recorded in their Case Files</w:t>
      </w:r>
      <w:r w:rsidRPr="00FB502E">
        <w:rPr>
          <w:rFonts w:cstheme="minorHAnsi"/>
          <w:color w:val="332C28"/>
          <w:shd w:val="clear" w:color="auto" w:fill="FFFFFF"/>
        </w:rPr>
        <w:t>.</w:t>
      </w:r>
      <w:r>
        <w:rPr>
          <w:rStyle w:val="FootnoteReference"/>
          <w:rFonts w:cstheme="minorHAnsi"/>
          <w:color w:val="332C28"/>
          <w:shd w:val="clear" w:color="auto" w:fill="FFFFFF"/>
        </w:rPr>
        <w:footnoteReference w:id="19"/>
      </w:r>
      <w:r>
        <w:rPr>
          <w:rStyle w:val="FootnoteReference"/>
          <w:rFonts w:cstheme="minorHAnsi"/>
          <w:color w:val="332C28"/>
          <w:shd w:val="clear" w:color="auto" w:fill="FFFFFF"/>
        </w:rPr>
        <w:footnoteReference w:id="20"/>
      </w:r>
      <w:r>
        <w:br w:type="page"/>
      </w:r>
    </w:p>
    <w:p w14:paraId="5CB94860" w14:textId="77777777" w:rsidR="001702AE" w:rsidRDefault="001702AE" w:rsidP="006B54C7">
      <w:pPr>
        <w:pStyle w:val="Heading1"/>
      </w:pPr>
      <w:bookmarkStart w:id="90" w:name="_Toc130396337"/>
      <w:bookmarkStart w:id="91" w:name="_Toc131232888"/>
      <w:r>
        <w:lastRenderedPageBreak/>
        <w:t xml:space="preserve">6. Buy Now Pay Later debts and other debts reported by clients: </w:t>
      </w:r>
      <w:bookmarkEnd w:id="90"/>
      <w:r>
        <w:t>Financial counselling data</w:t>
      </w:r>
      <w:bookmarkEnd w:id="91"/>
    </w:p>
    <w:p w14:paraId="4B1A8263" w14:textId="77777777" w:rsidR="001702AE" w:rsidRPr="00DB7291" w:rsidRDefault="001702AE" w:rsidP="006B54C7">
      <w:pPr>
        <w:pStyle w:val="Heading2"/>
      </w:pPr>
      <w:bookmarkStart w:id="92" w:name="_Toc131232889"/>
      <w:r>
        <w:t>Key findings</w:t>
      </w:r>
      <w:bookmarkEnd w:id="92"/>
    </w:p>
    <w:p w14:paraId="5308DEF0" w14:textId="77777777" w:rsidR="001702AE" w:rsidRDefault="001702AE" w:rsidP="005D72F8">
      <w:pPr>
        <w:pStyle w:val="Bullets"/>
      </w:pPr>
      <w:r>
        <w:t>Four in five clients with BNPL debts were struggling with credit and debt issues.</w:t>
      </w:r>
    </w:p>
    <w:p w14:paraId="165D8843" w14:textId="77777777" w:rsidR="001702AE" w:rsidRPr="00A8718B" w:rsidRDefault="001702AE" w:rsidP="005D72F8">
      <w:pPr>
        <w:pStyle w:val="Bullets"/>
      </w:pPr>
      <w:r w:rsidRPr="00A8718B">
        <w:t xml:space="preserve">Clients </w:t>
      </w:r>
      <w:r>
        <w:t>had</w:t>
      </w:r>
      <w:r w:rsidRPr="00A8718B">
        <w:t xml:space="preserve"> accrued BNPL debts </w:t>
      </w:r>
      <w:r>
        <w:t>using</w:t>
      </w:r>
      <w:r w:rsidRPr="00A8718B">
        <w:t xml:space="preserve"> 12 different BNPL products.</w:t>
      </w:r>
    </w:p>
    <w:p w14:paraId="1D413B79" w14:textId="77777777" w:rsidR="001702AE" w:rsidRPr="00A8718B" w:rsidRDefault="001702AE" w:rsidP="005D72F8">
      <w:pPr>
        <w:pStyle w:val="Bullets"/>
      </w:pPr>
      <w:r>
        <w:t>Half the clients</w:t>
      </w:r>
      <w:r w:rsidRPr="00A8718B">
        <w:t xml:space="preserve"> with BNPL debts </w:t>
      </w:r>
      <w:r>
        <w:t>presented with</w:t>
      </w:r>
      <w:r w:rsidRPr="00A8718B">
        <w:t xml:space="preserve"> more than </w:t>
      </w:r>
      <w:r>
        <w:t>one</w:t>
      </w:r>
      <w:r w:rsidRPr="00A8718B">
        <w:t xml:space="preserve"> BNPL debt.</w:t>
      </w:r>
    </w:p>
    <w:p w14:paraId="6A934F38" w14:textId="77777777" w:rsidR="001702AE" w:rsidRPr="00A8718B" w:rsidRDefault="001702AE" w:rsidP="005D72F8">
      <w:pPr>
        <w:pStyle w:val="Bullets"/>
      </w:pPr>
      <w:r w:rsidRPr="00A8718B">
        <w:t xml:space="preserve">The average number of BNPL debts was </w:t>
      </w:r>
      <w:r>
        <w:t>two</w:t>
      </w:r>
      <w:r w:rsidRPr="00A8718B">
        <w:t xml:space="preserve"> and the highest number was 12.</w:t>
      </w:r>
    </w:p>
    <w:p w14:paraId="30531560" w14:textId="77777777" w:rsidR="001702AE" w:rsidRPr="00A8718B" w:rsidRDefault="001702AE" w:rsidP="005D72F8">
      <w:pPr>
        <w:pStyle w:val="Bullets"/>
      </w:pPr>
      <w:r>
        <w:t>T</w:t>
      </w:r>
      <w:r w:rsidRPr="00A8718B">
        <w:t>he</w:t>
      </w:r>
      <w:r>
        <w:t xml:space="preserve"> average</w:t>
      </w:r>
      <w:r w:rsidRPr="00A8718B">
        <w:t xml:space="preserve"> combined value of BNPL debts was $2,100</w:t>
      </w:r>
      <w:r>
        <w:t xml:space="preserve"> per client.</w:t>
      </w:r>
    </w:p>
    <w:p w14:paraId="7E67CB47" w14:textId="77777777" w:rsidR="001702AE" w:rsidRPr="00A8718B" w:rsidRDefault="001702AE" w:rsidP="005D72F8">
      <w:pPr>
        <w:pStyle w:val="Bullets"/>
      </w:pPr>
      <w:r w:rsidRPr="00A8718B">
        <w:t>The highest value of BNPL debt</w:t>
      </w:r>
      <w:r>
        <w:t>s owed by</w:t>
      </w:r>
      <w:r w:rsidRPr="00A8718B">
        <w:t xml:space="preserve"> a client was $7,900.</w:t>
      </w:r>
    </w:p>
    <w:p w14:paraId="6EEE66F7" w14:textId="77777777" w:rsidR="001702AE" w:rsidRPr="00A8718B" w:rsidRDefault="001702AE" w:rsidP="005D72F8">
      <w:pPr>
        <w:pStyle w:val="Bullets"/>
      </w:pPr>
      <w:r>
        <w:t>95% of</w:t>
      </w:r>
      <w:r w:rsidRPr="00A8718B">
        <w:t xml:space="preserve"> client</w:t>
      </w:r>
      <w:r>
        <w:t>s</w:t>
      </w:r>
      <w:r w:rsidRPr="00A8718B">
        <w:t xml:space="preserve"> with BNPL debts presented with non-BNPL debts</w:t>
      </w:r>
      <w:r>
        <w:t xml:space="preserve"> too.</w:t>
      </w:r>
    </w:p>
    <w:p w14:paraId="4AF0FB74" w14:textId="77777777" w:rsidR="001702AE" w:rsidRDefault="001702AE" w:rsidP="005D72F8">
      <w:pPr>
        <w:pStyle w:val="Bullets"/>
      </w:pPr>
      <w:r w:rsidRPr="00A8718B">
        <w:t xml:space="preserve">Clients with BNPL debts had an average of </w:t>
      </w:r>
      <w:r>
        <w:t>four</w:t>
      </w:r>
      <w:r w:rsidRPr="00A8718B">
        <w:t xml:space="preserve"> non-BNPL debts, and the highest number of non-BNPL debts reported by</w:t>
      </w:r>
      <w:r>
        <w:t xml:space="preserve"> a</w:t>
      </w:r>
      <w:r w:rsidRPr="00A8718B">
        <w:t xml:space="preserve"> client was 15.</w:t>
      </w:r>
    </w:p>
    <w:p w14:paraId="19EB765F" w14:textId="77777777" w:rsidR="001702AE" w:rsidRPr="00A8718B" w:rsidRDefault="001702AE" w:rsidP="005D72F8">
      <w:pPr>
        <w:pStyle w:val="Bullets"/>
      </w:pPr>
      <w:r>
        <w:t xml:space="preserve">The average number of debts owed by clients with no BNPL debts was two, with a range of 1 – 10 debts. </w:t>
      </w:r>
    </w:p>
    <w:p w14:paraId="7928DD32" w14:textId="77777777" w:rsidR="001702AE" w:rsidRDefault="001702AE" w:rsidP="005D72F8">
      <w:pPr>
        <w:pStyle w:val="Bullets"/>
      </w:pPr>
      <w:r>
        <w:t>Many different types of debt were reported by clients with BNPL debts. The</w:t>
      </w:r>
      <w:r w:rsidRPr="00A8718B">
        <w:t xml:space="preserve"> most common </w:t>
      </w:r>
      <w:r>
        <w:t>was</w:t>
      </w:r>
      <w:r w:rsidRPr="00A8718B">
        <w:t xml:space="preserve"> ‘payday’ loans, followed by credit cards and Centrelink advance payments.</w:t>
      </w:r>
    </w:p>
    <w:p w14:paraId="2FBABA55" w14:textId="77777777" w:rsidR="001702AE" w:rsidRPr="00780BEB" w:rsidRDefault="001702AE" w:rsidP="006B54C7">
      <w:pPr>
        <w:pStyle w:val="Heading2"/>
      </w:pPr>
      <w:bookmarkStart w:id="93" w:name="_Toc130396339"/>
      <w:bookmarkStart w:id="94" w:name="_Toc131232890"/>
      <w:r>
        <w:t>6.1 Credit and debt issues</w:t>
      </w:r>
      <w:bookmarkEnd w:id="93"/>
      <w:bookmarkEnd w:id="94"/>
    </w:p>
    <w:p w14:paraId="298B0966" w14:textId="77777777" w:rsidR="001702AE" w:rsidRDefault="001702AE" w:rsidP="006B54C7">
      <w:pPr>
        <w:spacing w:after="240"/>
      </w:pPr>
      <w:r>
        <w:t xml:space="preserve">For each client, Financial Counsellors can tick one or more Causes of Financial Difficulties from a list in the Client Profile Form. Where recorded for clients with BNPL debts (n = 91), the most common cause was ‘credit/debt issue/arrears’ (80%). Nearly one third (31%) of clients with BNPL debts were classified as receiving ‘inadequate income’ and 15% were considering or pursuing ‘bankruptcy’ (as the 5th-ranked cause). In comparison, 58% of clients with no BNPL debts had ‘credit/debt issues/arrears’ and only 4% were considering or pursuing ‘bankruptcy’ (as the 12th-ranked cause). It appears that having BNPL debts is associated with more prevalent credit or debt issues amongst clients, and for some, these debts have become so unmanageable they are considering or pursuing bankruptcy. </w:t>
      </w:r>
    </w:p>
    <w:p w14:paraId="55F46293" w14:textId="77777777" w:rsidR="001702AE" w:rsidRPr="001F67CF" w:rsidRDefault="001702AE" w:rsidP="006B54C7">
      <w:pPr>
        <w:spacing w:after="240"/>
      </w:pPr>
      <w:r w:rsidRPr="003578C5">
        <w:rPr>
          <w:i/>
          <w:color w:val="2F5496" w:themeColor="accent1" w:themeShade="BF"/>
        </w:rPr>
        <w:t xml:space="preserve">Table </w:t>
      </w:r>
      <w:r>
        <w:rPr>
          <w:i/>
          <w:color w:val="2F5496" w:themeColor="accent1" w:themeShade="BF"/>
        </w:rPr>
        <w:t>4</w:t>
      </w:r>
      <w:r w:rsidRPr="003578C5">
        <w:rPr>
          <w:i/>
          <w:color w:val="2F5496" w:themeColor="accent1" w:themeShade="BF"/>
        </w:rPr>
        <w:t>: Causes of Financial Difficulties – top 5</w:t>
      </w:r>
      <w:r>
        <w:rPr>
          <w:i/>
          <w:color w:val="2F5496" w:themeColor="accent1" w:themeShade="BF"/>
        </w:rPr>
        <w:t xml:space="preserve"> causes</w:t>
      </w:r>
      <w:r w:rsidRPr="003578C5">
        <w:rPr>
          <w:i/>
          <w:color w:val="2F5496" w:themeColor="accent1" w:themeShade="BF"/>
        </w:rPr>
        <w:t xml:space="preserve"> for clients</w:t>
      </w:r>
      <w:r>
        <w:rPr>
          <w:i/>
          <w:color w:val="2F5496" w:themeColor="accent1" w:themeShade="BF"/>
        </w:rPr>
        <w:t xml:space="preserve"> with BNPL debts</w:t>
      </w:r>
    </w:p>
    <w:tbl>
      <w:tblPr>
        <w:tblStyle w:val="PlainTable2"/>
        <w:tblW w:w="9785" w:type="dxa"/>
        <w:tblLook w:val="04A0" w:firstRow="1" w:lastRow="0" w:firstColumn="1" w:lastColumn="0" w:noHBand="0" w:noVBand="1"/>
      </w:tblPr>
      <w:tblGrid>
        <w:gridCol w:w="712"/>
        <w:gridCol w:w="2549"/>
        <w:gridCol w:w="708"/>
        <w:gridCol w:w="709"/>
        <w:gridCol w:w="425"/>
        <w:gridCol w:w="673"/>
        <w:gridCol w:w="2446"/>
        <w:gridCol w:w="796"/>
        <w:gridCol w:w="767"/>
      </w:tblGrid>
      <w:tr w:rsidR="001702AE" w:rsidRPr="00331BDA" w14:paraId="332E8875" w14:textId="77777777" w:rsidTr="006B54C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8" w:type="dxa"/>
            <w:gridSpan w:val="4"/>
            <w:shd w:val="clear" w:color="auto" w:fill="E6E3D9"/>
          </w:tcPr>
          <w:p w14:paraId="1B76770C" w14:textId="77777777" w:rsidR="001702AE" w:rsidRPr="001F67CF" w:rsidRDefault="001702AE" w:rsidP="006B54C7">
            <w:pPr>
              <w:spacing w:before="60" w:after="60"/>
              <w:jc w:val="center"/>
              <w:rPr>
                <w:rFonts w:eastAsia="Times New Roman" w:cstheme="minorHAnsi"/>
                <w:iCs/>
                <w:sz w:val="20"/>
                <w:szCs w:val="20"/>
                <w:lang w:eastAsia="en-AU"/>
              </w:rPr>
            </w:pPr>
            <w:r w:rsidRPr="001F67CF">
              <w:rPr>
                <w:rFonts w:eastAsia="Times New Roman" w:cstheme="minorHAnsi"/>
                <w:iCs/>
                <w:sz w:val="20"/>
                <w:szCs w:val="20"/>
                <w:lang w:eastAsia="en-AU"/>
              </w:rPr>
              <w:t>Clients with BNPL debts</w:t>
            </w:r>
          </w:p>
        </w:tc>
        <w:tc>
          <w:tcPr>
            <w:tcW w:w="425" w:type="dxa"/>
            <w:shd w:val="clear" w:color="auto" w:fill="E6E3D9"/>
          </w:tcPr>
          <w:p w14:paraId="2AC1D270" w14:textId="77777777" w:rsidR="001702AE" w:rsidRPr="001F67CF" w:rsidRDefault="001702AE" w:rsidP="006B54C7">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iCs/>
                <w:sz w:val="20"/>
                <w:szCs w:val="20"/>
                <w:lang w:eastAsia="en-AU"/>
              </w:rPr>
            </w:pPr>
          </w:p>
        </w:tc>
        <w:tc>
          <w:tcPr>
            <w:tcW w:w="4682" w:type="dxa"/>
            <w:gridSpan w:val="4"/>
            <w:shd w:val="clear" w:color="auto" w:fill="E6E3D9"/>
          </w:tcPr>
          <w:p w14:paraId="68B2ECAD" w14:textId="77777777" w:rsidR="001702AE" w:rsidRPr="001F67CF" w:rsidRDefault="001702AE" w:rsidP="006B54C7">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iCs/>
                <w:sz w:val="20"/>
                <w:szCs w:val="20"/>
                <w:lang w:eastAsia="en-AU"/>
              </w:rPr>
            </w:pPr>
            <w:r w:rsidRPr="001F67CF">
              <w:rPr>
                <w:rFonts w:eastAsia="Times New Roman" w:cstheme="minorHAnsi"/>
                <w:iCs/>
                <w:sz w:val="20"/>
                <w:szCs w:val="20"/>
                <w:lang w:eastAsia="en-AU"/>
              </w:rPr>
              <w:t>Clients with no BNPL debts</w:t>
            </w:r>
          </w:p>
        </w:tc>
      </w:tr>
      <w:tr w:rsidR="001702AE" w:rsidRPr="00331BDA" w14:paraId="2ECA7AA7"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2" w:type="dxa"/>
            <w:shd w:val="clear" w:color="auto" w:fill="E6E3D9"/>
          </w:tcPr>
          <w:p w14:paraId="1B35C1A7" w14:textId="77777777" w:rsidR="001702AE" w:rsidRPr="001F67CF" w:rsidRDefault="001702AE" w:rsidP="006B54C7">
            <w:pPr>
              <w:spacing w:before="60" w:after="60"/>
              <w:rPr>
                <w:rFonts w:eastAsia="Times New Roman" w:cstheme="minorHAnsi"/>
                <w:sz w:val="20"/>
                <w:szCs w:val="20"/>
                <w:lang w:eastAsia="en-AU"/>
              </w:rPr>
            </w:pPr>
            <w:r w:rsidRPr="001F67CF">
              <w:rPr>
                <w:rFonts w:eastAsia="Times New Roman" w:cstheme="minorHAnsi"/>
                <w:sz w:val="20"/>
                <w:szCs w:val="20"/>
                <w:lang w:eastAsia="en-AU"/>
              </w:rPr>
              <w:t>Rank</w:t>
            </w:r>
          </w:p>
        </w:tc>
        <w:tc>
          <w:tcPr>
            <w:tcW w:w="2549" w:type="dxa"/>
            <w:shd w:val="clear" w:color="auto" w:fill="E6E3D9"/>
            <w:noWrap/>
            <w:hideMark/>
          </w:tcPr>
          <w:p w14:paraId="7852F2A4" w14:textId="77777777" w:rsidR="001702AE" w:rsidRPr="001F67CF"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en-AU"/>
              </w:rPr>
            </w:pPr>
            <w:r w:rsidRPr="001F67CF">
              <w:rPr>
                <w:rFonts w:eastAsia="Times New Roman" w:cstheme="minorHAnsi"/>
                <w:b/>
                <w:sz w:val="20"/>
                <w:szCs w:val="20"/>
                <w:lang w:eastAsia="en-AU"/>
              </w:rPr>
              <w:t>Causes</w:t>
            </w:r>
          </w:p>
        </w:tc>
        <w:tc>
          <w:tcPr>
            <w:tcW w:w="708" w:type="dxa"/>
            <w:shd w:val="clear" w:color="auto" w:fill="E6E3D9"/>
            <w:noWrap/>
            <w:hideMark/>
          </w:tcPr>
          <w:p w14:paraId="213368A7"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en-AU"/>
              </w:rPr>
            </w:pPr>
            <w:r w:rsidRPr="003578C5">
              <w:rPr>
                <w:rFonts w:eastAsia="Times New Roman" w:cstheme="minorHAnsi"/>
                <w:b/>
                <w:sz w:val="20"/>
                <w:szCs w:val="20"/>
                <w:lang w:eastAsia="en-AU"/>
              </w:rPr>
              <w:t>No.</w:t>
            </w:r>
          </w:p>
        </w:tc>
        <w:tc>
          <w:tcPr>
            <w:tcW w:w="709" w:type="dxa"/>
            <w:shd w:val="clear" w:color="auto" w:fill="E6E3D9"/>
            <w:noWrap/>
            <w:hideMark/>
          </w:tcPr>
          <w:p w14:paraId="4C4297DF"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i/>
                <w:iCs/>
                <w:sz w:val="20"/>
                <w:szCs w:val="20"/>
                <w:lang w:eastAsia="en-AU"/>
              </w:rPr>
            </w:pPr>
            <w:r w:rsidRPr="003578C5">
              <w:rPr>
                <w:rFonts w:eastAsia="Times New Roman" w:cstheme="minorHAnsi"/>
                <w:b/>
                <w:i/>
                <w:iCs/>
                <w:sz w:val="20"/>
                <w:szCs w:val="20"/>
                <w:lang w:eastAsia="en-AU"/>
              </w:rPr>
              <w:t>%</w:t>
            </w:r>
          </w:p>
        </w:tc>
        <w:tc>
          <w:tcPr>
            <w:tcW w:w="425" w:type="dxa"/>
            <w:shd w:val="clear" w:color="auto" w:fill="E6E3D9"/>
          </w:tcPr>
          <w:p w14:paraId="31C9319C" w14:textId="77777777" w:rsidR="001702AE" w:rsidRPr="003578C5"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en-AU"/>
              </w:rPr>
            </w:pPr>
          </w:p>
        </w:tc>
        <w:tc>
          <w:tcPr>
            <w:tcW w:w="673" w:type="dxa"/>
            <w:shd w:val="clear" w:color="auto" w:fill="E6E3D9"/>
          </w:tcPr>
          <w:p w14:paraId="0E810138" w14:textId="77777777" w:rsidR="001702AE" w:rsidRPr="003578C5"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en-AU"/>
              </w:rPr>
            </w:pPr>
            <w:r w:rsidRPr="003578C5">
              <w:rPr>
                <w:rFonts w:eastAsia="Times New Roman" w:cstheme="minorHAnsi"/>
                <w:b/>
                <w:sz w:val="20"/>
                <w:szCs w:val="20"/>
                <w:lang w:eastAsia="en-AU"/>
              </w:rPr>
              <w:t>Rank</w:t>
            </w:r>
          </w:p>
        </w:tc>
        <w:tc>
          <w:tcPr>
            <w:tcW w:w="2446" w:type="dxa"/>
            <w:shd w:val="clear" w:color="auto" w:fill="E6E3D9"/>
          </w:tcPr>
          <w:p w14:paraId="06188921" w14:textId="77777777" w:rsidR="001702AE" w:rsidRPr="003578C5"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en-AU"/>
              </w:rPr>
            </w:pPr>
            <w:r w:rsidRPr="003578C5">
              <w:rPr>
                <w:rFonts w:eastAsia="Times New Roman" w:cstheme="minorHAnsi"/>
                <w:b/>
                <w:sz w:val="20"/>
                <w:szCs w:val="20"/>
                <w:lang w:eastAsia="en-AU"/>
              </w:rPr>
              <w:t>Causes</w:t>
            </w:r>
          </w:p>
        </w:tc>
        <w:tc>
          <w:tcPr>
            <w:tcW w:w="796" w:type="dxa"/>
            <w:shd w:val="clear" w:color="auto" w:fill="E6E3D9"/>
          </w:tcPr>
          <w:p w14:paraId="76516AE9"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i/>
                <w:iCs/>
                <w:sz w:val="20"/>
                <w:szCs w:val="20"/>
                <w:lang w:eastAsia="en-AU"/>
              </w:rPr>
            </w:pPr>
            <w:r w:rsidRPr="003578C5">
              <w:rPr>
                <w:rFonts w:eastAsia="Times New Roman" w:cstheme="minorHAnsi"/>
                <w:b/>
                <w:sz w:val="20"/>
                <w:szCs w:val="20"/>
                <w:lang w:eastAsia="en-AU"/>
              </w:rPr>
              <w:t>No.</w:t>
            </w:r>
          </w:p>
        </w:tc>
        <w:tc>
          <w:tcPr>
            <w:tcW w:w="767" w:type="dxa"/>
            <w:shd w:val="clear" w:color="auto" w:fill="E6E3D9"/>
          </w:tcPr>
          <w:p w14:paraId="2C7F6821"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i/>
                <w:iCs/>
                <w:sz w:val="20"/>
                <w:szCs w:val="20"/>
                <w:lang w:eastAsia="en-AU"/>
              </w:rPr>
            </w:pPr>
            <w:r w:rsidRPr="003578C5">
              <w:rPr>
                <w:rFonts w:eastAsia="Times New Roman" w:cstheme="minorHAnsi"/>
                <w:b/>
                <w:i/>
                <w:iCs/>
                <w:sz w:val="20"/>
                <w:szCs w:val="20"/>
                <w:lang w:eastAsia="en-AU"/>
              </w:rPr>
              <w:t>%</w:t>
            </w:r>
          </w:p>
        </w:tc>
      </w:tr>
      <w:tr w:rsidR="001702AE" w:rsidRPr="00331BDA" w14:paraId="7EED99A1"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712" w:type="dxa"/>
          </w:tcPr>
          <w:p w14:paraId="28D02925" w14:textId="77777777" w:rsidR="001702AE" w:rsidRPr="003578C5" w:rsidRDefault="001702AE" w:rsidP="006B54C7">
            <w:pPr>
              <w:spacing w:before="60" w:after="60"/>
              <w:jc w:val="center"/>
              <w:rPr>
                <w:rFonts w:cstheme="minorHAnsi"/>
                <w:sz w:val="20"/>
                <w:szCs w:val="20"/>
              </w:rPr>
            </w:pPr>
            <w:r w:rsidRPr="003578C5">
              <w:rPr>
                <w:rFonts w:cstheme="minorHAnsi"/>
                <w:sz w:val="20"/>
                <w:szCs w:val="20"/>
              </w:rPr>
              <w:t>1</w:t>
            </w:r>
          </w:p>
        </w:tc>
        <w:tc>
          <w:tcPr>
            <w:tcW w:w="2549" w:type="dxa"/>
            <w:noWrap/>
          </w:tcPr>
          <w:p w14:paraId="54C72710" w14:textId="77777777" w:rsidR="001702AE" w:rsidRPr="003578C5" w:rsidRDefault="001702AE" w:rsidP="006B54C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cstheme="minorHAnsi"/>
                <w:sz w:val="20"/>
                <w:szCs w:val="20"/>
              </w:rPr>
              <w:t>Credit/debt issues/arrears</w:t>
            </w:r>
          </w:p>
        </w:tc>
        <w:tc>
          <w:tcPr>
            <w:tcW w:w="708" w:type="dxa"/>
            <w:noWrap/>
          </w:tcPr>
          <w:p w14:paraId="77327A9C"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73</w:t>
            </w:r>
          </w:p>
        </w:tc>
        <w:tc>
          <w:tcPr>
            <w:tcW w:w="709" w:type="dxa"/>
            <w:noWrap/>
          </w:tcPr>
          <w:p w14:paraId="66969ECB"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80%</w:t>
            </w:r>
          </w:p>
        </w:tc>
        <w:tc>
          <w:tcPr>
            <w:tcW w:w="425" w:type="dxa"/>
          </w:tcPr>
          <w:p w14:paraId="3B56AFC8" w14:textId="77777777" w:rsidR="001702AE" w:rsidRPr="001F67CF"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p>
        </w:tc>
        <w:tc>
          <w:tcPr>
            <w:tcW w:w="673" w:type="dxa"/>
          </w:tcPr>
          <w:p w14:paraId="07A263ED" w14:textId="77777777" w:rsidR="001702AE" w:rsidRPr="001F67CF"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1F67CF">
              <w:rPr>
                <w:rFonts w:ascii="Calibri" w:hAnsi="Calibri" w:cs="Calibri"/>
                <w:b/>
                <w:sz w:val="20"/>
                <w:szCs w:val="20"/>
              </w:rPr>
              <w:t>1</w:t>
            </w:r>
          </w:p>
        </w:tc>
        <w:tc>
          <w:tcPr>
            <w:tcW w:w="2446" w:type="dxa"/>
          </w:tcPr>
          <w:p w14:paraId="7BE02D85" w14:textId="77777777" w:rsidR="001702AE" w:rsidRPr="003578C5" w:rsidRDefault="001702AE" w:rsidP="006B54C7">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78C5">
              <w:rPr>
                <w:rFonts w:ascii="Calibri" w:hAnsi="Calibri" w:cs="Calibri"/>
                <w:sz w:val="20"/>
                <w:szCs w:val="20"/>
              </w:rPr>
              <w:t>Credit/debt issues/arrears</w:t>
            </w:r>
          </w:p>
        </w:tc>
        <w:tc>
          <w:tcPr>
            <w:tcW w:w="796" w:type="dxa"/>
          </w:tcPr>
          <w:p w14:paraId="623F50E2"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ascii="Calibri" w:hAnsi="Calibri" w:cs="Calibri"/>
                <w:sz w:val="20"/>
                <w:szCs w:val="20"/>
              </w:rPr>
              <w:t>125</w:t>
            </w:r>
          </w:p>
        </w:tc>
        <w:tc>
          <w:tcPr>
            <w:tcW w:w="767" w:type="dxa"/>
          </w:tcPr>
          <w:p w14:paraId="320EDAD3"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ascii="Calibri" w:hAnsi="Calibri" w:cs="Calibri"/>
                <w:sz w:val="20"/>
                <w:szCs w:val="20"/>
              </w:rPr>
              <w:t>58%</w:t>
            </w:r>
          </w:p>
        </w:tc>
      </w:tr>
      <w:tr w:rsidR="001702AE" w:rsidRPr="00331BDA" w14:paraId="410F2ADB"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2" w:type="dxa"/>
          </w:tcPr>
          <w:p w14:paraId="7C2BB28A" w14:textId="77777777" w:rsidR="001702AE" w:rsidRPr="003578C5" w:rsidRDefault="001702AE" w:rsidP="006B54C7">
            <w:pPr>
              <w:spacing w:before="60" w:after="60"/>
              <w:jc w:val="center"/>
              <w:rPr>
                <w:rFonts w:cstheme="minorHAnsi"/>
                <w:sz w:val="20"/>
                <w:szCs w:val="20"/>
              </w:rPr>
            </w:pPr>
            <w:r w:rsidRPr="003578C5">
              <w:rPr>
                <w:rFonts w:cstheme="minorHAnsi"/>
                <w:sz w:val="20"/>
                <w:szCs w:val="20"/>
              </w:rPr>
              <w:t>2</w:t>
            </w:r>
          </w:p>
        </w:tc>
        <w:tc>
          <w:tcPr>
            <w:tcW w:w="2549" w:type="dxa"/>
            <w:noWrap/>
          </w:tcPr>
          <w:p w14:paraId="336D5E7B" w14:textId="77777777" w:rsidR="001702AE" w:rsidRPr="003578C5"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78C5">
              <w:rPr>
                <w:rFonts w:cstheme="minorHAnsi"/>
                <w:sz w:val="20"/>
                <w:szCs w:val="20"/>
              </w:rPr>
              <w:t>Budgeting</w:t>
            </w:r>
          </w:p>
        </w:tc>
        <w:tc>
          <w:tcPr>
            <w:tcW w:w="708" w:type="dxa"/>
            <w:noWrap/>
          </w:tcPr>
          <w:p w14:paraId="05CE6263"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58</w:t>
            </w:r>
          </w:p>
        </w:tc>
        <w:tc>
          <w:tcPr>
            <w:tcW w:w="709" w:type="dxa"/>
            <w:noWrap/>
          </w:tcPr>
          <w:p w14:paraId="59A1314D"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64%</w:t>
            </w:r>
          </w:p>
        </w:tc>
        <w:tc>
          <w:tcPr>
            <w:tcW w:w="425" w:type="dxa"/>
          </w:tcPr>
          <w:p w14:paraId="17ED3FCD" w14:textId="77777777" w:rsidR="001702AE" w:rsidRPr="001F67CF"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c>
          <w:tcPr>
            <w:tcW w:w="673" w:type="dxa"/>
          </w:tcPr>
          <w:p w14:paraId="03B55360" w14:textId="77777777" w:rsidR="001702AE" w:rsidRPr="001F67CF"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1F67CF">
              <w:rPr>
                <w:rFonts w:ascii="Calibri" w:hAnsi="Calibri" w:cs="Calibri"/>
                <w:b/>
                <w:sz w:val="20"/>
                <w:szCs w:val="20"/>
              </w:rPr>
              <w:t>3</w:t>
            </w:r>
          </w:p>
        </w:tc>
        <w:tc>
          <w:tcPr>
            <w:tcW w:w="2446" w:type="dxa"/>
          </w:tcPr>
          <w:p w14:paraId="5E4C2A51" w14:textId="77777777" w:rsidR="001702AE" w:rsidRPr="003578C5"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578C5">
              <w:rPr>
                <w:rFonts w:ascii="Calibri" w:hAnsi="Calibri" w:cs="Calibri"/>
                <w:sz w:val="20"/>
                <w:szCs w:val="20"/>
              </w:rPr>
              <w:t>Budgeting</w:t>
            </w:r>
          </w:p>
        </w:tc>
        <w:tc>
          <w:tcPr>
            <w:tcW w:w="796" w:type="dxa"/>
          </w:tcPr>
          <w:p w14:paraId="2B005838"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578C5">
              <w:rPr>
                <w:rFonts w:ascii="Calibri" w:hAnsi="Calibri" w:cs="Calibri"/>
                <w:sz w:val="20"/>
                <w:szCs w:val="20"/>
              </w:rPr>
              <w:t>95</w:t>
            </w:r>
          </w:p>
        </w:tc>
        <w:tc>
          <w:tcPr>
            <w:tcW w:w="767" w:type="dxa"/>
          </w:tcPr>
          <w:p w14:paraId="47451A4F"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578C5">
              <w:rPr>
                <w:rFonts w:ascii="Calibri" w:hAnsi="Calibri" w:cs="Calibri"/>
                <w:sz w:val="20"/>
                <w:szCs w:val="20"/>
              </w:rPr>
              <w:t>38%</w:t>
            </w:r>
          </w:p>
        </w:tc>
      </w:tr>
      <w:tr w:rsidR="001702AE" w:rsidRPr="00331BDA" w14:paraId="10D50B1F"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712" w:type="dxa"/>
          </w:tcPr>
          <w:p w14:paraId="7DEBEB72" w14:textId="77777777" w:rsidR="001702AE" w:rsidRPr="003578C5" w:rsidRDefault="001702AE" w:rsidP="006B54C7">
            <w:pPr>
              <w:spacing w:before="60" w:after="60"/>
              <w:jc w:val="center"/>
              <w:rPr>
                <w:rFonts w:cstheme="minorHAnsi"/>
                <w:sz w:val="20"/>
                <w:szCs w:val="20"/>
              </w:rPr>
            </w:pPr>
            <w:r w:rsidRPr="003578C5">
              <w:rPr>
                <w:rFonts w:cstheme="minorHAnsi"/>
                <w:sz w:val="20"/>
                <w:szCs w:val="20"/>
              </w:rPr>
              <w:t>3</w:t>
            </w:r>
          </w:p>
        </w:tc>
        <w:tc>
          <w:tcPr>
            <w:tcW w:w="2549" w:type="dxa"/>
            <w:noWrap/>
          </w:tcPr>
          <w:p w14:paraId="5EB47716" w14:textId="77777777" w:rsidR="001702AE" w:rsidRPr="003578C5" w:rsidRDefault="001702AE" w:rsidP="006B54C7">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78C5">
              <w:rPr>
                <w:rFonts w:cstheme="minorHAnsi"/>
                <w:sz w:val="20"/>
                <w:szCs w:val="20"/>
              </w:rPr>
              <w:t>Financial literacy</w:t>
            </w:r>
          </w:p>
        </w:tc>
        <w:tc>
          <w:tcPr>
            <w:tcW w:w="708" w:type="dxa"/>
            <w:noWrap/>
          </w:tcPr>
          <w:p w14:paraId="4C497ECD"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46</w:t>
            </w:r>
          </w:p>
        </w:tc>
        <w:tc>
          <w:tcPr>
            <w:tcW w:w="709" w:type="dxa"/>
            <w:noWrap/>
          </w:tcPr>
          <w:p w14:paraId="3A926952"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51%</w:t>
            </w:r>
          </w:p>
        </w:tc>
        <w:tc>
          <w:tcPr>
            <w:tcW w:w="425" w:type="dxa"/>
          </w:tcPr>
          <w:p w14:paraId="1DDF4961" w14:textId="77777777" w:rsidR="001702AE" w:rsidRPr="001F67CF"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p>
        </w:tc>
        <w:tc>
          <w:tcPr>
            <w:tcW w:w="673" w:type="dxa"/>
          </w:tcPr>
          <w:p w14:paraId="1A0ED8DF" w14:textId="77777777" w:rsidR="001702AE" w:rsidRPr="001F67CF"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1F67CF">
              <w:rPr>
                <w:rFonts w:ascii="Calibri" w:hAnsi="Calibri" w:cs="Calibri"/>
                <w:b/>
                <w:sz w:val="20"/>
                <w:szCs w:val="20"/>
              </w:rPr>
              <w:t>2</w:t>
            </w:r>
          </w:p>
        </w:tc>
        <w:tc>
          <w:tcPr>
            <w:tcW w:w="2446" w:type="dxa"/>
          </w:tcPr>
          <w:p w14:paraId="46A29331" w14:textId="77777777" w:rsidR="001702AE" w:rsidRPr="003578C5" w:rsidRDefault="001702AE" w:rsidP="006B54C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78C5">
              <w:rPr>
                <w:rFonts w:ascii="Calibri" w:hAnsi="Calibri" w:cs="Calibri"/>
                <w:sz w:val="20"/>
                <w:szCs w:val="20"/>
              </w:rPr>
              <w:t>Financial literacy</w:t>
            </w:r>
          </w:p>
        </w:tc>
        <w:tc>
          <w:tcPr>
            <w:tcW w:w="796" w:type="dxa"/>
          </w:tcPr>
          <w:p w14:paraId="65F590C5"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78C5">
              <w:rPr>
                <w:rFonts w:ascii="Calibri" w:hAnsi="Calibri" w:cs="Calibri"/>
                <w:sz w:val="20"/>
                <w:szCs w:val="20"/>
              </w:rPr>
              <w:t>83</w:t>
            </w:r>
          </w:p>
        </w:tc>
        <w:tc>
          <w:tcPr>
            <w:tcW w:w="767" w:type="dxa"/>
          </w:tcPr>
          <w:p w14:paraId="18BFCAD5"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78C5">
              <w:rPr>
                <w:rFonts w:ascii="Calibri" w:hAnsi="Calibri" w:cs="Calibri"/>
                <w:sz w:val="20"/>
                <w:szCs w:val="20"/>
              </w:rPr>
              <w:t>44%</w:t>
            </w:r>
          </w:p>
        </w:tc>
      </w:tr>
      <w:tr w:rsidR="001702AE" w:rsidRPr="00331BDA" w14:paraId="7D532780" w14:textId="77777777" w:rsidTr="006B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2" w:type="dxa"/>
          </w:tcPr>
          <w:p w14:paraId="58187183" w14:textId="77777777" w:rsidR="001702AE" w:rsidRPr="003578C5" w:rsidRDefault="001702AE" w:rsidP="006B54C7">
            <w:pPr>
              <w:spacing w:before="60" w:after="60"/>
              <w:jc w:val="center"/>
              <w:rPr>
                <w:rFonts w:cstheme="minorHAnsi"/>
                <w:sz w:val="20"/>
                <w:szCs w:val="20"/>
              </w:rPr>
            </w:pPr>
            <w:r w:rsidRPr="003578C5">
              <w:rPr>
                <w:rFonts w:cstheme="minorHAnsi"/>
                <w:sz w:val="20"/>
                <w:szCs w:val="20"/>
              </w:rPr>
              <w:t>4</w:t>
            </w:r>
          </w:p>
        </w:tc>
        <w:tc>
          <w:tcPr>
            <w:tcW w:w="2549" w:type="dxa"/>
            <w:noWrap/>
          </w:tcPr>
          <w:p w14:paraId="3CC792D8" w14:textId="77777777" w:rsidR="001702AE" w:rsidRPr="003578C5"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3578C5">
              <w:rPr>
                <w:rFonts w:cstheme="minorHAnsi"/>
                <w:sz w:val="20"/>
                <w:szCs w:val="20"/>
              </w:rPr>
              <w:t>Inadequate income</w:t>
            </w:r>
          </w:p>
        </w:tc>
        <w:tc>
          <w:tcPr>
            <w:tcW w:w="708" w:type="dxa"/>
            <w:noWrap/>
          </w:tcPr>
          <w:p w14:paraId="4F5943A8"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28</w:t>
            </w:r>
          </w:p>
        </w:tc>
        <w:tc>
          <w:tcPr>
            <w:tcW w:w="709" w:type="dxa"/>
            <w:noWrap/>
          </w:tcPr>
          <w:p w14:paraId="2E85600B"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31%</w:t>
            </w:r>
          </w:p>
        </w:tc>
        <w:tc>
          <w:tcPr>
            <w:tcW w:w="425" w:type="dxa"/>
          </w:tcPr>
          <w:p w14:paraId="4DC261EF" w14:textId="77777777" w:rsidR="001702AE" w:rsidRPr="001F67CF"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c>
          <w:tcPr>
            <w:tcW w:w="673" w:type="dxa"/>
          </w:tcPr>
          <w:p w14:paraId="3533E2CB" w14:textId="77777777" w:rsidR="001702AE" w:rsidRPr="001F67CF"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1F67CF">
              <w:rPr>
                <w:rFonts w:ascii="Calibri" w:hAnsi="Calibri" w:cs="Calibri"/>
                <w:b/>
                <w:sz w:val="20"/>
                <w:szCs w:val="20"/>
              </w:rPr>
              <w:t>5</w:t>
            </w:r>
          </w:p>
        </w:tc>
        <w:tc>
          <w:tcPr>
            <w:tcW w:w="2446" w:type="dxa"/>
          </w:tcPr>
          <w:p w14:paraId="22905ED7" w14:textId="77777777" w:rsidR="001702AE" w:rsidRPr="003578C5" w:rsidRDefault="001702AE" w:rsidP="006B54C7">
            <w:pPr>
              <w:spacing w:before="60" w:after="6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78C5">
              <w:rPr>
                <w:rFonts w:ascii="Calibri" w:hAnsi="Calibri" w:cs="Calibri"/>
                <w:sz w:val="20"/>
                <w:szCs w:val="20"/>
              </w:rPr>
              <w:t>Inadequate income</w:t>
            </w:r>
          </w:p>
        </w:tc>
        <w:tc>
          <w:tcPr>
            <w:tcW w:w="796" w:type="dxa"/>
          </w:tcPr>
          <w:p w14:paraId="17931076"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3578C5">
              <w:rPr>
                <w:rFonts w:ascii="Calibri" w:hAnsi="Calibri" w:cs="Calibri"/>
                <w:sz w:val="20"/>
                <w:szCs w:val="20"/>
              </w:rPr>
              <w:t>56</w:t>
            </w:r>
          </w:p>
        </w:tc>
        <w:tc>
          <w:tcPr>
            <w:tcW w:w="767" w:type="dxa"/>
          </w:tcPr>
          <w:p w14:paraId="7FEB34BD" w14:textId="77777777" w:rsidR="001702AE" w:rsidRPr="003578C5" w:rsidRDefault="001702AE" w:rsidP="006B54C7">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3578C5">
              <w:rPr>
                <w:rFonts w:ascii="Calibri" w:hAnsi="Calibri" w:cs="Calibri"/>
                <w:sz w:val="20"/>
                <w:szCs w:val="20"/>
              </w:rPr>
              <w:t>25%</w:t>
            </w:r>
          </w:p>
        </w:tc>
      </w:tr>
      <w:tr w:rsidR="001702AE" w:rsidRPr="00331BDA" w14:paraId="161677E6" w14:textId="77777777" w:rsidTr="006B54C7">
        <w:trPr>
          <w:trHeight w:val="300"/>
        </w:trPr>
        <w:tc>
          <w:tcPr>
            <w:cnfStyle w:val="001000000000" w:firstRow="0" w:lastRow="0" w:firstColumn="1" w:lastColumn="0" w:oddVBand="0" w:evenVBand="0" w:oddHBand="0" w:evenHBand="0" w:firstRowFirstColumn="0" w:firstRowLastColumn="0" w:lastRowFirstColumn="0" w:lastRowLastColumn="0"/>
            <w:tcW w:w="712" w:type="dxa"/>
          </w:tcPr>
          <w:p w14:paraId="7A1F489E" w14:textId="77777777" w:rsidR="001702AE" w:rsidRPr="003578C5" w:rsidRDefault="001702AE" w:rsidP="006B54C7">
            <w:pPr>
              <w:spacing w:before="60" w:after="60"/>
              <w:jc w:val="center"/>
              <w:rPr>
                <w:rFonts w:cstheme="minorHAnsi"/>
                <w:sz w:val="20"/>
                <w:szCs w:val="20"/>
              </w:rPr>
            </w:pPr>
            <w:r w:rsidRPr="003578C5">
              <w:rPr>
                <w:rFonts w:eastAsia="Times New Roman" w:cstheme="minorHAnsi"/>
                <w:color w:val="000000"/>
                <w:sz w:val="20"/>
                <w:szCs w:val="20"/>
                <w:lang w:eastAsia="en-AU"/>
              </w:rPr>
              <w:t>5</w:t>
            </w:r>
          </w:p>
        </w:tc>
        <w:tc>
          <w:tcPr>
            <w:tcW w:w="2549" w:type="dxa"/>
            <w:noWrap/>
          </w:tcPr>
          <w:p w14:paraId="1D31BDA0" w14:textId="77777777" w:rsidR="001702AE" w:rsidRPr="003578C5" w:rsidRDefault="001702AE" w:rsidP="006B54C7">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78C5">
              <w:rPr>
                <w:rFonts w:eastAsia="Times New Roman" w:cstheme="minorHAnsi"/>
                <w:sz w:val="20"/>
                <w:szCs w:val="20"/>
                <w:lang w:eastAsia="en-AU"/>
              </w:rPr>
              <w:t>Bankruptcy</w:t>
            </w:r>
          </w:p>
        </w:tc>
        <w:tc>
          <w:tcPr>
            <w:tcW w:w="708" w:type="dxa"/>
            <w:noWrap/>
          </w:tcPr>
          <w:p w14:paraId="18447014"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14</w:t>
            </w:r>
          </w:p>
        </w:tc>
        <w:tc>
          <w:tcPr>
            <w:tcW w:w="709" w:type="dxa"/>
            <w:noWrap/>
          </w:tcPr>
          <w:p w14:paraId="148C77A6"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3578C5">
              <w:rPr>
                <w:rFonts w:eastAsia="Times New Roman" w:cstheme="minorHAnsi"/>
                <w:sz w:val="20"/>
                <w:szCs w:val="20"/>
                <w:lang w:eastAsia="en-AU"/>
              </w:rPr>
              <w:t>15%</w:t>
            </w:r>
          </w:p>
        </w:tc>
        <w:tc>
          <w:tcPr>
            <w:tcW w:w="425" w:type="dxa"/>
          </w:tcPr>
          <w:p w14:paraId="6BD6E09C" w14:textId="77777777" w:rsidR="001702AE" w:rsidRPr="001F67CF"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en-AU"/>
              </w:rPr>
            </w:pPr>
          </w:p>
        </w:tc>
        <w:tc>
          <w:tcPr>
            <w:tcW w:w="673" w:type="dxa"/>
          </w:tcPr>
          <w:p w14:paraId="2D73C18D" w14:textId="77777777" w:rsidR="001702AE" w:rsidRPr="001F67CF"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1F67CF">
              <w:rPr>
                <w:rFonts w:eastAsia="Times New Roman" w:cstheme="minorHAnsi"/>
                <w:b/>
                <w:sz w:val="20"/>
                <w:szCs w:val="20"/>
                <w:lang w:eastAsia="en-AU"/>
              </w:rPr>
              <w:t>12</w:t>
            </w:r>
          </w:p>
        </w:tc>
        <w:tc>
          <w:tcPr>
            <w:tcW w:w="2446" w:type="dxa"/>
          </w:tcPr>
          <w:p w14:paraId="4CD501E2" w14:textId="77777777" w:rsidR="001702AE" w:rsidRPr="003578C5" w:rsidRDefault="001702AE" w:rsidP="006B54C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78C5">
              <w:rPr>
                <w:rFonts w:eastAsia="Times New Roman" w:cstheme="minorHAnsi"/>
                <w:sz w:val="20"/>
                <w:szCs w:val="20"/>
                <w:lang w:eastAsia="en-AU"/>
              </w:rPr>
              <w:t>Bankruptcy</w:t>
            </w:r>
          </w:p>
        </w:tc>
        <w:tc>
          <w:tcPr>
            <w:tcW w:w="796" w:type="dxa"/>
          </w:tcPr>
          <w:p w14:paraId="22B615C4"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78C5">
              <w:rPr>
                <w:rFonts w:ascii="Calibri" w:hAnsi="Calibri" w:cs="Calibri"/>
                <w:sz w:val="20"/>
                <w:szCs w:val="20"/>
              </w:rPr>
              <w:t>9</w:t>
            </w:r>
          </w:p>
        </w:tc>
        <w:tc>
          <w:tcPr>
            <w:tcW w:w="767" w:type="dxa"/>
          </w:tcPr>
          <w:p w14:paraId="3E6DD1CD" w14:textId="77777777" w:rsidR="001702AE" w:rsidRPr="003578C5" w:rsidRDefault="001702AE" w:rsidP="006B54C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78C5">
              <w:rPr>
                <w:rFonts w:cstheme="minorHAnsi"/>
                <w:sz w:val="20"/>
                <w:szCs w:val="20"/>
              </w:rPr>
              <w:t>4%</w:t>
            </w:r>
          </w:p>
        </w:tc>
      </w:tr>
    </w:tbl>
    <w:p w14:paraId="77025E89" w14:textId="77777777" w:rsidR="001702AE" w:rsidRPr="00BC0FD7" w:rsidRDefault="001702AE" w:rsidP="006B54C7">
      <w:pPr>
        <w:rPr>
          <w:i/>
          <w:color w:val="2F5496" w:themeColor="accent1" w:themeShade="BF"/>
        </w:rPr>
      </w:pPr>
      <w:r w:rsidRPr="00BC0FD7">
        <w:rPr>
          <w:i/>
          <w:color w:val="2F5496" w:themeColor="accent1" w:themeShade="BF"/>
        </w:rPr>
        <w:lastRenderedPageBreak/>
        <w:t xml:space="preserve">Figure </w:t>
      </w:r>
      <w:r>
        <w:rPr>
          <w:i/>
          <w:color w:val="2F5496" w:themeColor="accent1" w:themeShade="BF"/>
        </w:rPr>
        <w:t>8</w:t>
      </w:r>
      <w:r w:rsidRPr="00BC0FD7">
        <w:rPr>
          <w:i/>
          <w:color w:val="2F5496" w:themeColor="accent1" w:themeShade="BF"/>
        </w:rPr>
        <w:t>: Credit/debt issues/arrears and bankruptcy</w:t>
      </w:r>
    </w:p>
    <w:p w14:paraId="30F19F83" w14:textId="77777777" w:rsidR="001702AE" w:rsidRDefault="001702AE" w:rsidP="006B54C7">
      <w:r>
        <w:rPr>
          <w:noProof/>
        </w:rPr>
        <w:drawing>
          <wp:inline distT="0" distB="0" distL="0" distR="0" wp14:anchorId="40233A83" wp14:editId="2288869D">
            <wp:extent cx="4572000" cy="2743200"/>
            <wp:effectExtent l="0" t="0" r="0" b="0"/>
            <wp:docPr id="21" name="Chart 21">
              <a:extLst xmlns:a="http://schemas.openxmlformats.org/drawingml/2006/main">
                <a:ext uri="{FF2B5EF4-FFF2-40B4-BE49-F238E27FC236}">
                  <a16:creationId xmlns:a16="http://schemas.microsoft.com/office/drawing/2014/main" id="{7F1CA641-6F99-28D6-5A71-C5FDED892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81343D" w14:textId="77777777" w:rsidR="001702AE" w:rsidRDefault="001702AE" w:rsidP="006B54C7">
      <w:pPr>
        <w:pStyle w:val="Heading2"/>
      </w:pPr>
      <w:bookmarkStart w:id="95" w:name="_Toc130396340"/>
      <w:bookmarkStart w:id="96" w:name="_Toc131232891"/>
      <w:r>
        <w:t>6.2 Characteristics of Buy Now Pay Later debts</w:t>
      </w:r>
      <w:bookmarkEnd w:id="95"/>
      <w:bookmarkEnd w:id="96"/>
    </w:p>
    <w:p w14:paraId="37BDE539" w14:textId="77777777" w:rsidR="001702AE" w:rsidRDefault="001702AE" w:rsidP="006B54C7">
      <w:pPr>
        <w:spacing w:after="240"/>
      </w:pPr>
      <w:r>
        <w:t>Anglicare’s financial counselling clients reported owing BNPL debts with 12 different</w:t>
      </w:r>
      <w:r w:rsidRPr="002E1DE4">
        <w:t xml:space="preserve"> </w:t>
      </w:r>
      <w:r>
        <w:t>products.</w:t>
      </w:r>
      <w:r w:rsidRPr="002E1DE4">
        <w:t xml:space="preserve"> </w:t>
      </w:r>
    </w:p>
    <w:p w14:paraId="0B0F861D" w14:textId="77777777" w:rsidR="001702AE" w:rsidRDefault="001702AE" w:rsidP="006B54C7">
      <w:pPr>
        <w:spacing w:before="0" w:after="0"/>
      </w:pPr>
      <w:r>
        <w:t xml:space="preserve">For </w:t>
      </w:r>
      <w:r w:rsidRPr="00106B4E">
        <w:t>clients with BNPL debts</w:t>
      </w:r>
      <w:r>
        <w:t xml:space="preserve">, </w:t>
      </w:r>
      <w:r w:rsidRPr="00106B4E">
        <w:t xml:space="preserve">the average number of BNPL debts was </w:t>
      </w:r>
      <w:r>
        <w:t>two</w:t>
      </w:r>
      <w:r w:rsidRPr="00106B4E">
        <w:t xml:space="preserve">, </w:t>
      </w:r>
      <w:r>
        <w:t>with a</w:t>
      </w:r>
      <w:r w:rsidRPr="00106B4E">
        <w:t xml:space="preserve"> range </w:t>
      </w:r>
      <w:r>
        <w:t>of</w:t>
      </w:r>
      <w:r w:rsidRPr="00106B4E">
        <w:t xml:space="preserve"> 1 – </w:t>
      </w:r>
      <w:r>
        <w:t>12 debts per client</w:t>
      </w:r>
      <w:r w:rsidRPr="00106B4E">
        <w:t xml:space="preserve">. </w:t>
      </w:r>
      <w:r>
        <w:t>H</w:t>
      </w:r>
      <w:r w:rsidRPr="00E87375">
        <w:t>alf of</w:t>
      </w:r>
      <w:r>
        <w:t xml:space="preserve"> </w:t>
      </w:r>
      <w:r w:rsidRPr="00E87375">
        <w:t xml:space="preserve">clients with BNPL debts had </w:t>
      </w:r>
      <w:r>
        <w:t xml:space="preserve">debts to more than one BNPL provider. Known as “loan stacking”, this practice entails clients using multiple BNPL accounts across multiple concurrent lenders </w:t>
      </w:r>
      <w:r>
        <w:rPr>
          <w:noProof/>
        </w:rPr>
        <w:t>(Close Lending Loopholes Coalition 2022)</w:t>
      </w:r>
      <w:r>
        <w:t xml:space="preserve">. Loan stacking creates complexity because clients have multiple creditors and may be required to make different repayments across different days, weeks and months </w:t>
      </w:r>
      <w:r>
        <w:rPr>
          <w:noProof/>
        </w:rPr>
        <w:t>(Close Lending Loopholes Coalition 2022)</w:t>
      </w:r>
      <w:r>
        <w:t>.</w:t>
      </w:r>
    </w:p>
    <w:p w14:paraId="6D98C82B" w14:textId="77777777" w:rsidR="001702AE" w:rsidRDefault="001702AE" w:rsidP="006B54C7">
      <w:pPr>
        <w:spacing w:after="240"/>
      </w:pPr>
      <w:bookmarkStart w:id="97" w:name="_Hlk129534692"/>
      <w:r>
        <w:t>The combined value of the BNPL debts owed by clients was $169,068.</w:t>
      </w:r>
      <w:r>
        <w:rPr>
          <w:rStyle w:val="FootnoteReference"/>
        </w:rPr>
        <w:footnoteReference w:id="21"/>
      </w:r>
      <w:r>
        <w:t xml:space="preserve"> </w:t>
      </w:r>
      <w:bookmarkEnd w:id="97"/>
      <w:r>
        <w:t>For clients whose debt values were recorded in Case Files, the</w:t>
      </w:r>
      <w:r w:rsidRPr="00106B4E">
        <w:t xml:space="preserve"> average value</w:t>
      </w:r>
      <w:r>
        <w:t xml:space="preserve"> of their debts</w:t>
      </w:r>
      <w:r w:rsidRPr="00106B4E">
        <w:t xml:space="preserve"> was $2</w:t>
      </w:r>
      <w:r>
        <w:t>,10</w:t>
      </w:r>
      <w:r w:rsidRPr="00106B4E">
        <w:t>0</w:t>
      </w:r>
      <w:r>
        <w:t xml:space="preserve"> and the range of BNPL debts for individual clients was $90 – $7,900.</w:t>
      </w:r>
      <w:r>
        <w:rPr>
          <w:rStyle w:val="FootnoteReference"/>
        </w:rPr>
        <w:footnoteReference w:id="22"/>
      </w:r>
      <w:r>
        <w:t xml:space="preserve"> While larger debts are concerning, even a relatively small BNPL debt can become unmanageable for a client with low income, high living costs or other debt obligations.</w:t>
      </w:r>
    </w:p>
    <w:p w14:paraId="19441E52" w14:textId="77777777" w:rsidR="001702AE" w:rsidRDefault="001702AE" w:rsidP="006B54C7">
      <w:pPr>
        <w:pStyle w:val="Heading2"/>
      </w:pPr>
      <w:bookmarkStart w:id="98" w:name="_Toc130396341"/>
      <w:bookmarkStart w:id="99" w:name="_Toc131232892"/>
      <w:r>
        <w:t>6.3 Characteristics of non-Buy Now Pay Later debts</w:t>
      </w:r>
      <w:bookmarkEnd w:id="98"/>
      <w:bookmarkEnd w:id="99"/>
    </w:p>
    <w:p w14:paraId="654BFDA3" w14:textId="77777777" w:rsidR="001702AE" w:rsidRDefault="001702AE" w:rsidP="006B54C7">
      <w:pPr>
        <w:spacing w:after="240"/>
      </w:pPr>
      <w:r>
        <w:t>For this research, the definition of non-BNPL debts excludes mortgage amounts owing. While mortgages were counted as a type of debt, the value of these debts were not included in our calculations.</w:t>
      </w:r>
      <w:r>
        <w:rPr>
          <w:rStyle w:val="FootnoteReference"/>
        </w:rPr>
        <w:footnoteReference w:id="23"/>
      </w:r>
      <w:r>
        <w:t xml:space="preserve"> However, where it was recorded, we included the value of owner-occupier mortgage</w:t>
      </w:r>
      <w:r w:rsidRPr="008320E5">
        <w:rPr>
          <w:i/>
        </w:rPr>
        <w:t xml:space="preserve"> arrears</w:t>
      </w:r>
      <w:r w:rsidRPr="00E108AE">
        <w:t xml:space="preserve"> </w:t>
      </w:r>
      <w:r>
        <w:t>(late mortgage payments) reported by clients.</w:t>
      </w:r>
    </w:p>
    <w:p w14:paraId="2F4E4BDB" w14:textId="77777777" w:rsidR="001702AE" w:rsidRDefault="001702AE" w:rsidP="006B54C7">
      <w:pPr>
        <w:spacing w:after="240"/>
      </w:pPr>
      <w:r>
        <w:t>For clients with debt information recorded in Case Files,</w:t>
      </w:r>
      <w:r w:rsidRPr="00D32254">
        <w:t xml:space="preserve"> only </w:t>
      </w:r>
      <w:r>
        <w:t>one</w:t>
      </w:r>
      <w:r w:rsidRPr="00D32254">
        <w:t xml:space="preserve"> client with BNPL debts had </w:t>
      </w:r>
      <w:r>
        <w:t>no other non-BNPL debts</w:t>
      </w:r>
      <w:r w:rsidRPr="00D32254">
        <w:t>.</w:t>
      </w:r>
      <w:r>
        <w:t xml:space="preserve"> </w:t>
      </w:r>
      <w:r w:rsidRPr="004E00CB">
        <w:t xml:space="preserve">The average number of </w:t>
      </w:r>
      <w:r>
        <w:t xml:space="preserve">non-BNPL </w:t>
      </w:r>
      <w:r w:rsidRPr="004E00CB">
        <w:t xml:space="preserve">debts </w:t>
      </w:r>
      <w:r>
        <w:t>clients</w:t>
      </w:r>
      <w:r w:rsidRPr="004E00CB">
        <w:t xml:space="preserve"> had </w:t>
      </w:r>
      <w:proofErr w:type="gramStart"/>
      <w:r w:rsidRPr="004E00CB">
        <w:t>was</w:t>
      </w:r>
      <w:proofErr w:type="gramEnd"/>
      <w:r w:rsidRPr="004E00CB">
        <w:t xml:space="preserve"> </w:t>
      </w:r>
      <w:r>
        <w:t>four,</w:t>
      </w:r>
      <w:r w:rsidRPr="004E00CB">
        <w:t xml:space="preserve"> but the range was </w:t>
      </w:r>
      <w:r>
        <w:t>1</w:t>
      </w:r>
      <w:r w:rsidRPr="004E00CB">
        <w:t xml:space="preserve"> – 1</w:t>
      </w:r>
      <w:r>
        <w:t>5 debts per client</w:t>
      </w:r>
      <w:r w:rsidRPr="004E00CB">
        <w:t>.</w:t>
      </w:r>
      <w:r>
        <w:t xml:space="preserve"> In comparison, the average number of non-BNPL debts owed by clients with no BNPL debts was two, with a range of 1 – 10 debts. For both client groups, these figures are very likely </w:t>
      </w:r>
      <w:r>
        <w:lastRenderedPageBreak/>
        <w:t>to be an under-estimate. For example, if multiple debts owed by a single client had already been referred to a debt collection agency, details of each individual debt may not have been recorded in their Case File, and thus what might have been two or three debts might only be counted as one.</w:t>
      </w:r>
    </w:p>
    <w:p w14:paraId="69C0CAC7" w14:textId="77777777" w:rsidR="001702AE" w:rsidRPr="00BD7DFA" w:rsidRDefault="001702AE" w:rsidP="006B54C7">
      <w:pPr>
        <w:spacing w:after="240"/>
      </w:pPr>
      <w:r>
        <w:t>Some clients with no BNPL debts reported no debts at all, having presented for financial counselling to address other financial difficulties. For example, many prisoners requested assistance with their Individual Tax Returns, Child Support Assessments or bank accounts. That said, most c</w:t>
      </w:r>
      <w:r w:rsidRPr="00BD7DFA">
        <w:t xml:space="preserve">lients </w:t>
      </w:r>
      <w:r>
        <w:t>in both groups</w:t>
      </w:r>
      <w:r w:rsidRPr="00BD7DFA">
        <w:t xml:space="preserve"> reported many different types of </w:t>
      </w:r>
      <w:r>
        <w:t>non-BNPL</w:t>
      </w:r>
      <w:r w:rsidRPr="00BD7DFA">
        <w:t xml:space="preserve"> debts</w:t>
      </w:r>
      <w:r>
        <w:t>.</w:t>
      </w:r>
      <w:r w:rsidRPr="00BD7DFA">
        <w:t xml:space="preserve"> (Refer to Box </w:t>
      </w:r>
      <w:r>
        <w:t>8</w:t>
      </w:r>
      <w:r w:rsidRPr="00BD7DFA">
        <w:t xml:space="preserve"> below </w:t>
      </w:r>
      <w:r>
        <w:t>for those</w:t>
      </w:r>
      <w:r w:rsidRPr="00BD7DFA">
        <w:t xml:space="preserve"> identified during the Case File Review.) For clients with BNPL debts, the most common type of </w:t>
      </w:r>
      <w:r>
        <w:t>non-BNPL debt</w:t>
      </w:r>
      <w:r w:rsidRPr="00BD7DFA">
        <w:t xml:space="preserve"> was </w:t>
      </w:r>
      <w:r>
        <w:t xml:space="preserve">a </w:t>
      </w:r>
      <w:r w:rsidRPr="00BD7DFA">
        <w:t>high-cost credit</w:t>
      </w:r>
      <w:r>
        <w:t xml:space="preserve"> product</w:t>
      </w:r>
      <w:r w:rsidRPr="00BD7DFA">
        <w:t xml:space="preserve"> such as </w:t>
      </w:r>
      <w:r>
        <w:t>a ‘</w:t>
      </w:r>
      <w:r w:rsidRPr="00BD7DFA">
        <w:t>payday</w:t>
      </w:r>
      <w:r>
        <w:t xml:space="preserve">’ </w:t>
      </w:r>
      <w:r w:rsidRPr="00BD7DFA">
        <w:t>loan. The next two most common</w:t>
      </w:r>
      <w:r>
        <w:t xml:space="preserve"> types of</w:t>
      </w:r>
      <w:r w:rsidRPr="00BD7DFA">
        <w:t xml:space="preserve"> debt were credit cards and</w:t>
      </w:r>
      <w:r>
        <w:t xml:space="preserve"> </w:t>
      </w:r>
      <w:r w:rsidRPr="00BD7DFA">
        <w:t xml:space="preserve">Centrelink </w:t>
      </w:r>
      <w:r>
        <w:t>advance payments</w:t>
      </w:r>
      <w:r w:rsidRPr="00BD7DFA">
        <w:t>.</w:t>
      </w:r>
      <w:r>
        <w:rPr>
          <w:rStyle w:val="FootnoteReference"/>
        </w:rPr>
        <w:footnoteReference w:id="24"/>
      </w:r>
      <w:r w:rsidRPr="00BD7DFA">
        <w:t xml:space="preserve"> </w:t>
      </w:r>
    </w:p>
    <w:p w14:paraId="2430134E" w14:textId="77777777" w:rsidR="001702AE" w:rsidRDefault="001702AE" w:rsidP="006B54C7">
      <w:pPr>
        <w:spacing w:after="240"/>
      </w:pPr>
      <w:r>
        <w:t xml:space="preserve">For clients with BNPL debts whose debt values were recorded in Case Files, the average combined </w:t>
      </w:r>
      <w:r w:rsidRPr="00106B4E">
        <w:t xml:space="preserve">value of </w:t>
      </w:r>
      <w:r>
        <w:t>their non-BNPL debts was $14,400. For clients with no BNPL debts, where the values were recorded in Case Files, the average combined value of their non-BNPL debts was slightly lower at $12,700.</w:t>
      </w:r>
      <w:r>
        <w:rPr>
          <w:rStyle w:val="FootnoteReference"/>
        </w:rPr>
        <w:footnoteReference w:id="25"/>
      </w:r>
      <w:r>
        <w:t xml:space="preserve"> </w:t>
      </w:r>
    </w:p>
    <w:p w14:paraId="63615719" w14:textId="77777777" w:rsidR="001702AE" w:rsidRDefault="001702AE" w:rsidP="006B54C7">
      <w:pPr>
        <w:spacing w:after="0"/>
      </w:pPr>
      <w:r w:rsidRPr="00EC587A">
        <w:t>The</w:t>
      </w:r>
      <w:r>
        <w:t xml:space="preserve"> high </w:t>
      </w:r>
      <w:r w:rsidRPr="00EC587A">
        <w:t xml:space="preserve">number of different </w:t>
      </w:r>
      <w:r>
        <w:t xml:space="preserve">types of debt </w:t>
      </w:r>
      <w:r w:rsidRPr="00EC587A">
        <w:t xml:space="preserve">reported by </w:t>
      </w:r>
      <w:r>
        <w:t xml:space="preserve">clients with BNPL debts </w:t>
      </w:r>
      <w:r w:rsidRPr="00EC587A">
        <w:t xml:space="preserve">is noteworthy. Referring to Box </w:t>
      </w:r>
      <w:r>
        <w:t>8</w:t>
      </w:r>
      <w:r w:rsidRPr="00EC587A">
        <w:t xml:space="preserve"> </w:t>
      </w:r>
      <w:r>
        <w:t>below</w:t>
      </w:r>
      <w:r w:rsidRPr="00EC587A">
        <w:t>, it is evident that</w:t>
      </w:r>
      <w:r>
        <w:t xml:space="preserve"> in the modern economy,</w:t>
      </w:r>
      <w:r w:rsidRPr="00EC587A">
        <w:t xml:space="preserve"> there are </w:t>
      </w:r>
      <w:r>
        <w:t>numerous</w:t>
      </w:r>
      <w:r w:rsidRPr="00EC587A">
        <w:t xml:space="preserve"> ways </w:t>
      </w:r>
      <w:r>
        <w:t>for people to</w:t>
      </w:r>
      <w:r w:rsidRPr="00EC587A">
        <w:t xml:space="preserve"> become indebted, </w:t>
      </w:r>
      <w:r>
        <w:t xml:space="preserve">all with </w:t>
      </w:r>
      <w:r w:rsidRPr="00EC587A">
        <w:t xml:space="preserve">different rates of interest, fees and charges, repayment terms and </w:t>
      </w:r>
      <w:r>
        <w:t xml:space="preserve">consequences </w:t>
      </w:r>
      <w:r w:rsidRPr="00EC587A">
        <w:t>if</w:t>
      </w:r>
      <w:r>
        <w:t xml:space="preserve"> those debts are</w:t>
      </w:r>
      <w:r w:rsidRPr="00EC587A">
        <w:t xml:space="preserve"> not repaid</w:t>
      </w:r>
      <w:r>
        <w:t xml:space="preserve"> on time</w:t>
      </w:r>
      <w:r w:rsidRPr="00EC587A">
        <w:t xml:space="preserve">. </w:t>
      </w:r>
      <w:r>
        <w:t xml:space="preserve">In recent years, there has been a proliferation of credit products available in Australia, which is reflected in the high number of credit products used by clients, many of which offer high-cost credit. </w:t>
      </w:r>
    </w:p>
    <w:p w14:paraId="28574A07" w14:textId="77777777" w:rsidR="001702AE" w:rsidRDefault="001702AE" w:rsidP="006B54C7">
      <w:pPr>
        <w:spacing w:after="0"/>
      </w:pPr>
    </w:p>
    <w:p w14:paraId="37BFB042" w14:textId="77777777" w:rsidR="001702AE" w:rsidRDefault="001702AE" w:rsidP="006B54C7">
      <w:pPr>
        <w:spacing w:after="0"/>
      </w:pPr>
      <w:r>
        <w:rPr>
          <w:noProof/>
        </w:rPr>
        <w:lastRenderedPageBreak/>
        <mc:AlternateContent>
          <mc:Choice Requires="wps">
            <w:drawing>
              <wp:anchor distT="45720" distB="45720" distL="114300" distR="114300" simplePos="0" relativeHeight="251671552" behindDoc="0" locked="0" layoutInCell="1" allowOverlap="1" wp14:anchorId="6AA0F266" wp14:editId="68B7D943">
                <wp:simplePos x="0" y="0"/>
                <wp:positionH relativeFrom="margin">
                  <wp:posOffset>-53975</wp:posOffset>
                </wp:positionH>
                <wp:positionV relativeFrom="margin">
                  <wp:posOffset>22860</wp:posOffset>
                </wp:positionV>
                <wp:extent cx="6229350" cy="4855845"/>
                <wp:effectExtent l="0" t="0" r="0" b="1905"/>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4855845"/>
                        </a:xfrm>
                        <a:prstGeom prst="rect">
                          <a:avLst/>
                        </a:prstGeom>
                        <a:solidFill>
                          <a:srgbClr val="E6E3D9"/>
                        </a:solidFill>
                        <a:ln w="12700">
                          <a:noFill/>
                          <a:miter lim="800000"/>
                          <a:headEnd/>
                          <a:tailEnd/>
                        </a:ln>
                      </wps:spPr>
                      <wps:txbx>
                        <w:txbxContent>
                          <w:p w14:paraId="2AFEBFEF" w14:textId="77777777" w:rsidR="006B54C7" w:rsidRPr="00FB7BEF" w:rsidRDefault="006B54C7" w:rsidP="00FB7BEF">
                            <w:pPr>
                              <w:ind w:left="142"/>
                              <w:rPr>
                                <w:b/>
                                <w:szCs w:val="24"/>
                              </w:rPr>
                            </w:pPr>
                            <w:r w:rsidRPr="00FB7BEF">
                              <w:rPr>
                                <w:b/>
                                <w:szCs w:val="24"/>
                              </w:rPr>
                              <w:t>Box 8: Other types of debt reported by financial counselling clients</w:t>
                            </w:r>
                          </w:p>
                          <w:p w14:paraId="0A1607F9" w14:textId="77777777" w:rsidR="006B54C7" w:rsidRPr="00693F70" w:rsidRDefault="006B54C7" w:rsidP="00693F70">
                            <w:pPr>
                              <w:pStyle w:val="Blackbullets"/>
                              <w:numPr>
                                <w:ilvl w:val="0"/>
                                <w:numId w:val="0"/>
                              </w:numPr>
                              <w:spacing w:after="120"/>
                              <w:ind w:left="142"/>
                              <w:rPr>
                                <w:b/>
                                <w:bCs/>
                                <w:i/>
                                <w:iCs/>
                              </w:rPr>
                            </w:pPr>
                            <w:r w:rsidRPr="00693F70">
                              <w:rPr>
                                <w:b/>
                                <w:bCs/>
                                <w:i/>
                                <w:iCs/>
                              </w:rPr>
                              <w:t>Debts from credit or loan products</w:t>
                            </w:r>
                          </w:p>
                          <w:p w14:paraId="0A3C8E43" w14:textId="77777777" w:rsidR="006B54C7" w:rsidRPr="00FB7BEF" w:rsidRDefault="006B54C7" w:rsidP="00B0567E">
                            <w:pPr>
                              <w:pStyle w:val="Blackbullets"/>
                              <w:ind w:left="1077" w:hanging="360"/>
                            </w:pPr>
                            <w:r w:rsidRPr="00FB7BEF">
                              <w:t>Credit cards</w:t>
                            </w:r>
                          </w:p>
                          <w:p w14:paraId="502A59A9" w14:textId="77777777" w:rsidR="006B54C7" w:rsidRPr="00FB7BEF" w:rsidRDefault="006B54C7" w:rsidP="00B0567E">
                            <w:pPr>
                              <w:pStyle w:val="Blackbullets"/>
                              <w:ind w:left="1077" w:hanging="360"/>
                            </w:pPr>
                            <w:r w:rsidRPr="00FB7BEF">
                              <w:t>Bank account overdrafts</w:t>
                            </w:r>
                          </w:p>
                          <w:p w14:paraId="03BE8084" w14:textId="667CA9CB" w:rsidR="006B54C7" w:rsidRPr="00FB7BEF" w:rsidRDefault="006B54C7" w:rsidP="00B0567E">
                            <w:pPr>
                              <w:pStyle w:val="Blackbullets"/>
                              <w:ind w:left="1077" w:hanging="360"/>
                            </w:pPr>
                            <w:r w:rsidRPr="00FB7BEF">
                              <w:t>High</w:t>
                            </w:r>
                            <w:r w:rsidR="00FB7BEF" w:rsidRPr="00FB7BEF">
                              <w:t>-</w:t>
                            </w:r>
                            <w:r w:rsidRPr="00FB7BEF">
                              <w:t>cost credit – payday loans, consumer loans, rent-to-buy arrangements</w:t>
                            </w:r>
                          </w:p>
                          <w:p w14:paraId="3E54EC72" w14:textId="77777777" w:rsidR="006B54C7" w:rsidRPr="00FB7BEF" w:rsidRDefault="006B54C7" w:rsidP="00B0567E">
                            <w:pPr>
                              <w:pStyle w:val="Blackbullets"/>
                              <w:ind w:left="1077" w:hanging="360"/>
                            </w:pPr>
                            <w:r w:rsidRPr="00FB7BEF">
                              <w:t>Loans – personal, business, car, motorbike, No Interest Loan Scheme (NILS)</w:t>
                            </w:r>
                          </w:p>
                          <w:p w14:paraId="5AFF967F" w14:textId="77777777" w:rsidR="006B54C7" w:rsidRPr="00FB7BEF" w:rsidRDefault="006B54C7" w:rsidP="00693F70">
                            <w:pPr>
                              <w:pStyle w:val="Blackbullets"/>
                              <w:spacing w:after="120"/>
                              <w:ind w:left="1071"/>
                            </w:pPr>
                            <w:r w:rsidRPr="00FB7BEF">
                              <w:t>Emerging fintech credit products – e.g. wage advance</w:t>
                            </w:r>
                          </w:p>
                          <w:p w14:paraId="1A3D721C" w14:textId="718CBCF8" w:rsidR="006B54C7" w:rsidRPr="00693F70" w:rsidRDefault="006B54C7" w:rsidP="00693F70">
                            <w:pPr>
                              <w:pStyle w:val="Blackbullets"/>
                              <w:numPr>
                                <w:ilvl w:val="0"/>
                                <w:numId w:val="0"/>
                              </w:numPr>
                              <w:spacing w:after="120"/>
                              <w:ind w:left="142"/>
                              <w:rPr>
                                <w:b/>
                                <w:bCs/>
                                <w:i/>
                                <w:iCs/>
                              </w:rPr>
                            </w:pPr>
                            <w:r w:rsidRPr="00693F70">
                              <w:rPr>
                                <w:b/>
                                <w:bCs/>
                                <w:i/>
                                <w:iCs/>
                              </w:rPr>
                              <w:t>Debts for goods and services</w:t>
                            </w:r>
                          </w:p>
                          <w:p w14:paraId="424F6C32" w14:textId="77777777" w:rsidR="006B54C7" w:rsidRPr="00FB7BEF" w:rsidRDefault="006B54C7" w:rsidP="00B0567E">
                            <w:pPr>
                              <w:pStyle w:val="Blackbullets"/>
                              <w:ind w:left="1077" w:hanging="360"/>
                            </w:pPr>
                            <w:r w:rsidRPr="00FB7BEF">
                              <w:t>Education or child care – after or before school care, early education, training courses</w:t>
                            </w:r>
                          </w:p>
                          <w:p w14:paraId="7BF693B3" w14:textId="77777777" w:rsidR="006B54C7" w:rsidRPr="00FB7BEF" w:rsidRDefault="006B54C7" w:rsidP="00B0567E">
                            <w:pPr>
                              <w:pStyle w:val="Blackbullets"/>
                              <w:ind w:left="1077" w:hanging="360"/>
                            </w:pPr>
                            <w:r w:rsidRPr="00FB7BEF">
                              <w:t>Health – medical fees, dental fees or pharmacy accounts</w:t>
                            </w:r>
                          </w:p>
                          <w:p w14:paraId="3D8D3C8E" w14:textId="77777777" w:rsidR="006B54C7" w:rsidRPr="00FB7BEF" w:rsidRDefault="006B54C7" w:rsidP="00B0567E">
                            <w:pPr>
                              <w:pStyle w:val="Blackbullets"/>
                              <w:ind w:left="1077" w:hanging="360"/>
                            </w:pPr>
                            <w:r w:rsidRPr="00FB7BEF">
                              <w:t>Housing – public or social housing arrears or damage costs, private rental arrears, Council rates, mortgage arrears or mortgages</w:t>
                            </w:r>
                          </w:p>
                          <w:p w14:paraId="6E58D73E" w14:textId="77777777" w:rsidR="006B54C7" w:rsidRPr="00FB7BEF" w:rsidRDefault="006B54C7" w:rsidP="00B0567E">
                            <w:pPr>
                              <w:pStyle w:val="Blackbullets"/>
                              <w:ind w:left="1077" w:hanging="360"/>
                            </w:pPr>
                            <w:r w:rsidRPr="00FB7BEF">
                              <w:t>Insurance – premiums, liabilities to insurers arising from vehicle accidents</w:t>
                            </w:r>
                          </w:p>
                          <w:p w14:paraId="6146668C" w14:textId="77777777" w:rsidR="006B54C7" w:rsidRPr="00FB7BEF" w:rsidRDefault="006B54C7" w:rsidP="00B0567E">
                            <w:pPr>
                              <w:pStyle w:val="Blackbullets"/>
                              <w:ind w:left="1077" w:hanging="360"/>
                            </w:pPr>
                            <w:r w:rsidRPr="00FB7BEF">
                              <w:t>Services – veterinary services, gym memberships, storage rentals, legal fees</w:t>
                            </w:r>
                          </w:p>
                          <w:p w14:paraId="64D900F8" w14:textId="77777777" w:rsidR="006B54C7" w:rsidRPr="00FB7BEF" w:rsidRDefault="006B54C7" w:rsidP="00B0567E">
                            <w:pPr>
                              <w:pStyle w:val="Blackbullets"/>
                              <w:ind w:left="1077" w:hanging="360"/>
                            </w:pPr>
                            <w:r w:rsidRPr="00FB7BEF">
                              <w:t>Telecommunications – internet, telephone, mobile phones or other devices</w:t>
                            </w:r>
                          </w:p>
                          <w:p w14:paraId="114681A9" w14:textId="7CE36C8B" w:rsidR="00693F70" w:rsidRPr="00FB7BEF" w:rsidRDefault="006B54C7" w:rsidP="002679F9">
                            <w:pPr>
                              <w:pStyle w:val="Blackbullets"/>
                              <w:spacing w:after="120"/>
                              <w:ind w:left="1071"/>
                            </w:pPr>
                            <w:r w:rsidRPr="00FB7BEF">
                              <w:t>Utilities – water, electricity or gas</w:t>
                            </w:r>
                          </w:p>
                          <w:p w14:paraId="4D28CE3F" w14:textId="58E8FCE5" w:rsidR="006B54C7" w:rsidRPr="00693F70" w:rsidRDefault="006B54C7" w:rsidP="00693F70">
                            <w:pPr>
                              <w:pStyle w:val="Blackbullets"/>
                              <w:numPr>
                                <w:ilvl w:val="0"/>
                                <w:numId w:val="0"/>
                              </w:numPr>
                              <w:spacing w:after="120"/>
                              <w:ind w:left="142"/>
                              <w:rPr>
                                <w:b/>
                                <w:bCs/>
                                <w:i/>
                                <w:iCs/>
                              </w:rPr>
                            </w:pPr>
                            <w:r w:rsidRPr="00693F70">
                              <w:rPr>
                                <w:b/>
                                <w:bCs/>
                                <w:i/>
                                <w:iCs/>
                              </w:rPr>
                              <w:t>Debts to family and friends or government agencies</w:t>
                            </w:r>
                          </w:p>
                          <w:p w14:paraId="317D1317" w14:textId="77777777" w:rsidR="006B54C7" w:rsidRPr="00FB7BEF" w:rsidRDefault="006B54C7" w:rsidP="00B0567E">
                            <w:pPr>
                              <w:pStyle w:val="Blackbullets"/>
                              <w:ind w:left="1077" w:hanging="360"/>
                            </w:pPr>
                            <w:r w:rsidRPr="00FB7BEF">
                              <w:t>Personal debts – money owed to family members or friends</w:t>
                            </w:r>
                          </w:p>
                          <w:p w14:paraId="265228C8" w14:textId="77777777" w:rsidR="006B54C7" w:rsidRPr="00FB7BEF" w:rsidRDefault="006B54C7" w:rsidP="00B0567E">
                            <w:pPr>
                              <w:pStyle w:val="Blackbullets"/>
                              <w:ind w:left="1077" w:hanging="360"/>
                            </w:pPr>
                            <w:r w:rsidRPr="00FB7BEF">
                              <w:t>Centrelink advances or overpayments</w:t>
                            </w:r>
                          </w:p>
                          <w:p w14:paraId="38F348D0" w14:textId="77777777" w:rsidR="006B54C7" w:rsidRPr="00FB7BEF" w:rsidRDefault="006B54C7" w:rsidP="00B0567E">
                            <w:pPr>
                              <w:pStyle w:val="Blackbullets"/>
                              <w:ind w:left="1077" w:hanging="360"/>
                            </w:pPr>
                            <w:r w:rsidRPr="00FB7BEF">
                              <w:t>Fines – infringements, criminal penalties or Court costs</w:t>
                            </w:r>
                          </w:p>
                          <w:p w14:paraId="683D2A54" w14:textId="77777777" w:rsidR="006B54C7" w:rsidRPr="00FB7BEF" w:rsidRDefault="006B54C7" w:rsidP="00B0567E">
                            <w:pPr>
                              <w:pStyle w:val="Blackbullets"/>
                              <w:ind w:left="1077" w:hanging="360"/>
                            </w:pPr>
                            <w:r w:rsidRPr="00FB7BEF">
                              <w:t>Australian Tax Office – income tax, capital gains tax, employee superannuation, GST</w:t>
                            </w:r>
                          </w:p>
                          <w:p w14:paraId="0D8DBF65" w14:textId="77777777" w:rsidR="006B54C7" w:rsidRPr="00D124F6" w:rsidRDefault="006B54C7" w:rsidP="006B54C7">
                            <w:pPr>
                              <w:rPr>
                                <w:color w:val="4472C4" w:themeColor="accent1"/>
                                <w:szCs w:val="24"/>
                              </w:rPr>
                            </w:pPr>
                          </w:p>
                          <w:p w14:paraId="11F4483B" w14:textId="77777777" w:rsidR="006B54C7" w:rsidRPr="00D124F6" w:rsidRDefault="006B54C7" w:rsidP="006B54C7">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0F266" id="_x0000_s1034" type="#_x0000_t202" style="position:absolute;margin-left:-4.25pt;margin-top:1.8pt;width:490.5pt;height:382.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" fillcolor="#e6e3d9" stroked="f" strokeweight="1pt">
                <v:textbox>
                  <w:txbxContent>
                    <w:p w14:paraId="2AFEBFEF" w14:textId="77777777" w:rsidR="006B54C7" w:rsidRPr="00FB7BEF" w:rsidRDefault="006B54C7" w:rsidP="00FB7BEF">
                      <w:pPr>
                        <w:ind w:left="142"/>
                        <w:rPr>
                          <w:b/>
                          <w:szCs w:val="24"/>
                        </w:rPr>
                      </w:pPr>
                      <w:r w:rsidRPr="00FB7BEF">
                        <w:rPr>
                          <w:b/>
                          <w:szCs w:val="24"/>
                        </w:rPr>
                        <w:t>Box 8: Other types of debt reported by financial counselling clients</w:t>
                      </w:r>
                    </w:p>
                    <w:p w14:paraId="0A1607F9" w14:textId="77777777" w:rsidR="006B54C7" w:rsidRPr="00693F70" w:rsidRDefault="006B54C7" w:rsidP="00693F70">
                      <w:pPr>
                        <w:pStyle w:val="Blackbullets"/>
                        <w:numPr>
                          <w:ilvl w:val="0"/>
                          <w:numId w:val="0"/>
                        </w:numPr>
                        <w:spacing w:after="120"/>
                        <w:ind w:left="142"/>
                        <w:rPr>
                          <w:b/>
                          <w:bCs/>
                          <w:i/>
                          <w:iCs/>
                        </w:rPr>
                      </w:pPr>
                      <w:r w:rsidRPr="00693F70">
                        <w:rPr>
                          <w:b/>
                          <w:bCs/>
                          <w:i/>
                          <w:iCs/>
                        </w:rPr>
                        <w:t>Debts from credit or loan products</w:t>
                      </w:r>
                    </w:p>
                    <w:p w14:paraId="0A3C8E43" w14:textId="77777777" w:rsidR="006B54C7" w:rsidRPr="00FB7BEF" w:rsidRDefault="006B54C7" w:rsidP="00B0567E">
                      <w:pPr>
                        <w:pStyle w:val="Blackbullets"/>
                        <w:ind w:left="1077" w:hanging="360"/>
                      </w:pPr>
                      <w:r w:rsidRPr="00FB7BEF">
                        <w:t>Credit cards</w:t>
                      </w:r>
                    </w:p>
                    <w:p w14:paraId="502A59A9" w14:textId="77777777" w:rsidR="006B54C7" w:rsidRPr="00FB7BEF" w:rsidRDefault="006B54C7" w:rsidP="00B0567E">
                      <w:pPr>
                        <w:pStyle w:val="Blackbullets"/>
                        <w:ind w:left="1077" w:hanging="360"/>
                      </w:pPr>
                      <w:r w:rsidRPr="00FB7BEF">
                        <w:t>Bank account overdrafts</w:t>
                      </w:r>
                    </w:p>
                    <w:p w14:paraId="03BE8084" w14:textId="667CA9CB" w:rsidR="006B54C7" w:rsidRPr="00FB7BEF" w:rsidRDefault="006B54C7" w:rsidP="00B0567E">
                      <w:pPr>
                        <w:pStyle w:val="Blackbullets"/>
                        <w:ind w:left="1077" w:hanging="360"/>
                      </w:pPr>
                      <w:r w:rsidRPr="00FB7BEF">
                        <w:t>High</w:t>
                      </w:r>
                      <w:r w:rsidR="00FB7BEF" w:rsidRPr="00FB7BEF">
                        <w:t>-</w:t>
                      </w:r>
                      <w:r w:rsidRPr="00FB7BEF">
                        <w:t>cost credit – payday loans, consumer loans, rent-to-buy arrangements</w:t>
                      </w:r>
                    </w:p>
                    <w:p w14:paraId="3E54EC72" w14:textId="77777777" w:rsidR="006B54C7" w:rsidRPr="00FB7BEF" w:rsidRDefault="006B54C7" w:rsidP="00B0567E">
                      <w:pPr>
                        <w:pStyle w:val="Blackbullets"/>
                        <w:ind w:left="1077" w:hanging="360"/>
                      </w:pPr>
                      <w:r w:rsidRPr="00FB7BEF">
                        <w:t>Loans – personal, business, car, motorbike, No Interest Loan Scheme (NILS)</w:t>
                      </w:r>
                    </w:p>
                    <w:p w14:paraId="5AFF967F" w14:textId="77777777" w:rsidR="006B54C7" w:rsidRPr="00FB7BEF" w:rsidRDefault="006B54C7" w:rsidP="00693F70">
                      <w:pPr>
                        <w:pStyle w:val="Blackbullets"/>
                        <w:spacing w:after="120"/>
                        <w:ind w:left="1071"/>
                      </w:pPr>
                      <w:r w:rsidRPr="00FB7BEF">
                        <w:t>Emerging fintech credit products – e.g. wage advance</w:t>
                      </w:r>
                    </w:p>
                    <w:p w14:paraId="1A3D721C" w14:textId="718CBCF8" w:rsidR="006B54C7" w:rsidRPr="00693F70" w:rsidRDefault="006B54C7" w:rsidP="00693F70">
                      <w:pPr>
                        <w:pStyle w:val="Blackbullets"/>
                        <w:numPr>
                          <w:ilvl w:val="0"/>
                          <w:numId w:val="0"/>
                        </w:numPr>
                        <w:spacing w:after="120"/>
                        <w:ind w:left="142"/>
                        <w:rPr>
                          <w:b/>
                          <w:bCs/>
                          <w:i/>
                          <w:iCs/>
                        </w:rPr>
                      </w:pPr>
                      <w:r w:rsidRPr="00693F70">
                        <w:rPr>
                          <w:b/>
                          <w:bCs/>
                          <w:i/>
                          <w:iCs/>
                        </w:rPr>
                        <w:t>Debts for goods and services</w:t>
                      </w:r>
                    </w:p>
                    <w:p w14:paraId="424F6C32" w14:textId="77777777" w:rsidR="006B54C7" w:rsidRPr="00FB7BEF" w:rsidRDefault="006B54C7" w:rsidP="00B0567E">
                      <w:pPr>
                        <w:pStyle w:val="Blackbullets"/>
                        <w:ind w:left="1077" w:hanging="360"/>
                      </w:pPr>
                      <w:r w:rsidRPr="00FB7BEF">
                        <w:t>Education or child care – after or before school care, early education, training courses</w:t>
                      </w:r>
                    </w:p>
                    <w:p w14:paraId="7BF693B3" w14:textId="77777777" w:rsidR="006B54C7" w:rsidRPr="00FB7BEF" w:rsidRDefault="006B54C7" w:rsidP="00B0567E">
                      <w:pPr>
                        <w:pStyle w:val="Blackbullets"/>
                        <w:ind w:left="1077" w:hanging="360"/>
                      </w:pPr>
                      <w:r w:rsidRPr="00FB7BEF">
                        <w:t>Health – medical fees, dental fees or pharmacy accounts</w:t>
                      </w:r>
                    </w:p>
                    <w:p w14:paraId="3D8D3C8E" w14:textId="77777777" w:rsidR="006B54C7" w:rsidRPr="00FB7BEF" w:rsidRDefault="006B54C7" w:rsidP="00B0567E">
                      <w:pPr>
                        <w:pStyle w:val="Blackbullets"/>
                        <w:ind w:left="1077" w:hanging="360"/>
                      </w:pPr>
                      <w:r w:rsidRPr="00FB7BEF">
                        <w:t>Housing – public or social housing arrears or damage costs, private rental arrears, Council rates, mortgage arrears or mortgages</w:t>
                      </w:r>
                    </w:p>
                    <w:p w14:paraId="6E58D73E" w14:textId="77777777" w:rsidR="006B54C7" w:rsidRPr="00FB7BEF" w:rsidRDefault="006B54C7" w:rsidP="00B0567E">
                      <w:pPr>
                        <w:pStyle w:val="Blackbullets"/>
                        <w:ind w:left="1077" w:hanging="360"/>
                      </w:pPr>
                      <w:r w:rsidRPr="00FB7BEF">
                        <w:t>Insurance – premiums, liabilities to insurers arising from vehicle accidents</w:t>
                      </w:r>
                    </w:p>
                    <w:p w14:paraId="6146668C" w14:textId="77777777" w:rsidR="006B54C7" w:rsidRPr="00FB7BEF" w:rsidRDefault="006B54C7" w:rsidP="00B0567E">
                      <w:pPr>
                        <w:pStyle w:val="Blackbullets"/>
                        <w:ind w:left="1077" w:hanging="360"/>
                      </w:pPr>
                      <w:r w:rsidRPr="00FB7BEF">
                        <w:t>Services – veterinary services, gym memberships, storage rentals, legal fees</w:t>
                      </w:r>
                    </w:p>
                    <w:p w14:paraId="64D900F8" w14:textId="77777777" w:rsidR="006B54C7" w:rsidRPr="00FB7BEF" w:rsidRDefault="006B54C7" w:rsidP="00B0567E">
                      <w:pPr>
                        <w:pStyle w:val="Blackbullets"/>
                        <w:ind w:left="1077" w:hanging="360"/>
                      </w:pPr>
                      <w:r w:rsidRPr="00FB7BEF">
                        <w:t>Telecommunications – internet, telephone, mobile phones or other devices</w:t>
                      </w:r>
                    </w:p>
                    <w:p w14:paraId="114681A9" w14:textId="7CE36C8B" w:rsidR="00693F70" w:rsidRPr="00FB7BEF" w:rsidRDefault="006B54C7" w:rsidP="002679F9">
                      <w:pPr>
                        <w:pStyle w:val="Blackbullets"/>
                        <w:spacing w:after="120"/>
                        <w:ind w:left="1071"/>
                      </w:pPr>
                      <w:r w:rsidRPr="00FB7BEF">
                        <w:t>Utilities – water, electricity or gas</w:t>
                      </w:r>
                    </w:p>
                    <w:p w14:paraId="4D28CE3F" w14:textId="58E8FCE5" w:rsidR="006B54C7" w:rsidRPr="00693F70" w:rsidRDefault="006B54C7" w:rsidP="00693F70">
                      <w:pPr>
                        <w:pStyle w:val="Blackbullets"/>
                        <w:numPr>
                          <w:ilvl w:val="0"/>
                          <w:numId w:val="0"/>
                        </w:numPr>
                        <w:spacing w:after="120"/>
                        <w:ind w:left="142"/>
                        <w:rPr>
                          <w:b/>
                          <w:bCs/>
                          <w:i/>
                          <w:iCs/>
                        </w:rPr>
                      </w:pPr>
                      <w:r w:rsidRPr="00693F70">
                        <w:rPr>
                          <w:b/>
                          <w:bCs/>
                          <w:i/>
                          <w:iCs/>
                        </w:rPr>
                        <w:t>Debts to family and friends or government agencies</w:t>
                      </w:r>
                    </w:p>
                    <w:p w14:paraId="317D1317" w14:textId="77777777" w:rsidR="006B54C7" w:rsidRPr="00FB7BEF" w:rsidRDefault="006B54C7" w:rsidP="00B0567E">
                      <w:pPr>
                        <w:pStyle w:val="Blackbullets"/>
                        <w:ind w:left="1077" w:hanging="360"/>
                      </w:pPr>
                      <w:r w:rsidRPr="00FB7BEF">
                        <w:t>Personal debts – money owed to family members or friends</w:t>
                      </w:r>
                    </w:p>
                    <w:p w14:paraId="265228C8" w14:textId="77777777" w:rsidR="006B54C7" w:rsidRPr="00FB7BEF" w:rsidRDefault="006B54C7" w:rsidP="00B0567E">
                      <w:pPr>
                        <w:pStyle w:val="Blackbullets"/>
                        <w:ind w:left="1077" w:hanging="360"/>
                      </w:pPr>
                      <w:r w:rsidRPr="00FB7BEF">
                        <w:t>Centrelink advances or overpayments</w:t>
                      </w:r>
                    </w:p>
                    <w:p w14:paraId="38F348D0" w14:textId="77777777" w:rsidR="006B54C7" w:rsidRPr="00FB7BEF" w:rsidRDefault="006B54C7" w:rsidP="00B0567E">
                      <w:pPr>
                        <w:pStyle w:val="Blackbullets"/>
                        <w:ind w:left="1077" w:hanging="360"/>
                      </w:pPr>
                      <w:r w:rsidRPr="00FB7BEF">
                        <w:t>Fines – infringements, criminal penalties or Court costs</w:t>
                      </w:r>
                    </w:p>
                    <w:p w14:paraId="683D2A54" w14:textId="77777777" w:rsidR="006B54C7" w:rsidRPr="00FB7BEF" w:rsidRDefault="006B54C7" w:rsidP="00B0567E">
                      <w:pPr>
                        <w:pStyle w:val="Blackbullets"/>
                        <w:ind w:left="1077" w:hanging="360"/>
                      </w:pPr>
                      <w:r w:rsidRPr="00FB7BEF">
                        <w:t>Australian Tax Office – income tax, capital gains tax, employee superannuation, GST</w:t>
                      </w:r>
                    </w:p>
                    <w:p w14:paraId="0D8DBF65" w14:textId="77777777" w:rsidR="006B54C7" w:rsidRPr="00D124F6" w:rsidRDefault="006B54C7" w:rsidP="006B54C7">
                      <w:pPr>
                        <w:rPr>
                          <w:color w:val="4472C4" w:themeColor="accent1"/>
                          <w:szCs w:val="24"/>
                        </w:rPr>
                      </w:pPr>
                    </w:p>
                    <w:p w14:paraId="11F4483B" w14:textId="77777777" w:rsidR="006B54C7" w:rsidRPr="00D124F6" w:rsidRDefault="006B54C7" w:rsidP="006B54C7">
                      <w:pPr>
                        <w:rPr>
                          <w:szCs w:val="24"/>
                        </w:rPr>
                      </w:pPr>
                    </w:p>
                  </w:txbxContent>
                </v:textbox>
                <w10:wrap type="topAndBottom" anchorx="margin" anchory="margin"/>
              </v:shape>
            </w:pict>
          </mc:Fallback>
        </mc:AlternateContent>
      </w:r>
    </w:p>
    <w:p w14:paraId="4FD992EA" w14:textId="77777777" w:rsidR="001702AE" w:rsidRDefault="001702AE">
      <w:pPr>
        <w:spacing w:before="0" w:after="0"/>
        <w:rPr>
          <w:rFonts w:ascii="Avenir Next Demi Bold" w:eastAsia="AvenirNextLTPro-Demi" w:hAnsi="Avenir Next Demi Bold" w:cs="AvenirNextLTPro-Demi"/>
          <w:b/>
          <w:bCs/>
          <w:color w:val="1598CB"/>
          <w:sz w:val="48"/>
          <w:szCs w:val="48"/>
        </w:rPr>
      </w:pPr>
      <w:bookmarkStart w:id="100" w:name="_Toc130396342"/>
      <w:r>
        <w:br w:type="page"/>
      </w:r>
    </w:p>
    <w:p w14:paraId="68E60B06" w14:textId="77777777" w:rsidR="001702AE" w:rsidRDefault="001702AE" w:rsidP="006B54C7">
      <w:pPr>
        <w:pStyle w:val="Heading1"/>
      </w:pPr>
      <w:bookmarkStart w:id="101" w:name="_Toc131232893"/>
      <w:r>
        <w:lastRenderedPageBreak/>
        <w:t>7. Impacts of Buy Now Pay Later for people experiencing disadvantage</w:t>
      </w:r>
      <w:bookmarkEnd w:id="100"/>
      <w:bookmarkEnd w:id="101"/>
    </w:p>
    <w:p w14:paraId="5C41D439" w14:textId="77777777" w:rsidR="001702AE" w:rsidRDefault="001702AE" w:rsidP="006B54C7">
      <w:pPr>
        <w:pStyle w:val="Heading2"/>
      </w:pPr>
      <w:bookmarkStart w:id="102" w:name="_Toc130396343"/>
      <w:bookmarkStart w:id="103" w:name="_Toc131232894"/>
      <w:r>
        <w:t>7</w:t>
      </w:r>
      <w:r w:rsidRPr="00CC327F">
        <w:t xml:space="preserve">.1 </w:t>
      </w:r>
      <w:r>
        <w:t>The rise of fintech and Buy Now Pay Later</w:t>
      </w:r>
      <w:bookmarkEnd w:id="102"/>
      <w:bookmarkEnd w:id="103"/>
    </w:p>
    <w:p w14:paraId="64776FE3" w14:textId="77777777" w:rsidR="001702AE" w:rsidRPr="00976087" w:rsidRDefault="001702AE" w:rsidP="006B54C7">
      <w:pPr>
        <w:spacing w:after="240"/>
      </w:pPr>
      <w:r>
        <w:t>In 2019, t</w:t>
      </w:r>
      <w:r w:rsidRPr="00976087">
        <w:t>he</w:t>
      </w:r>
      <w:r>
        <w:t xml:space="preserve"> Commissioners of the</w:t>
      </w:r>
      <w:r w:rsidRPr="00976087">
        <w:t xml:space="preserve"> Banking Royal Commission </w:t>
      </w:r>
      <w:r>
        <w:t>observed</w:t>
      </w:r>
      <w:r w:rsidRPr="00976087">
        <w:t xml:space="preserve"> that:</w:t>
      </w:r>
    </w:p>
    <w:p w14:paraId="550C47DB" w14:textId="77777777" w:rsidR="001702AE" w:rsidRPr="00C17E90" w:rsidRDefault="001702AE" w:rsidP="006B54C7">
      <w:pPr>
        <w:spacing w:after="240"/>
        <w:ind w:left="357"/>
        <w:rPr>
          <w:sz w:val="22"/>
        </w:rPr>
      </w:pPr>
      <w:r w:rsidRPr="00C17E90">
        <w:rPr>
          <w:sz w:val="22"/>
        </w:rPr>
        <w:t xml:space="preserve">Financial products and services have grown ever more complicated, numerous, and difficult to distinguish. … And the laws governing the relationship between customers and entities are frequently opaque </w:t>
      </w:r>
      <w:r>
        <w:rPr>
          <w:noProof/>
          <w:sz w:val="22"/>
        </w:rPr>
        <w:t>(Commonwealth of Australia 2019)</w:t>
      </w:r>
      <w:r w:rsidRPr="00C17E90">
        <w:rPr>
          <w:sz w:val="22"/>
        </w:rPr>
        <w:t>.</w:t>
      </w:r>
    </w:p>
    <w:p w14:paraId="532D8814" w14:textId="77777777" w:rsidR="001702AE" w:rsidRDefault="001702AE" w:rsidP="006B54C7">
      <w:pPr>
        <w:spacing w:after="240"/>
        <w:rPr>
          <w:szCs w:val="24"/>
        </w:rPr>
      </w:pPr>
      <w:r>
        <w:t xml:space="preserve">Since then, the growth of </w:t>
      </w:r>
      <w:r w:rsidRPr="002946EF">
        <w:rPr>
          <w:b/>
          <w:color w:val="248EB9"/>
        </w:rPr>
        <w:t>fintech</w:t>
      </w:r>
      <w:r>
        <w:t xml:space="preserve"> products has accelerated, exposing people in financial stress to new and more complex credit arrangements and potential harms from unmanageable debt. </w:t>
      </w:r>
      <w:r>
        <w:rPr>
          <w:szCs w:val="24"/>
        </w:rPr>
        <w:t xml:space="preserve">BNPL is part of </w:t>
      </w:r>
      <w:r w:rsidRPr="0090575D">
        <w:rPr>
          <w:szCs w:val="24"/>
        </w:rPr>
        <w:t>“</w:t>
      </w:r>
      <w:r>
        <w:rPr>
          <w:szCs w:val="24"/>
        </w:rPr>
        <w:t xml:space="preserve">an </w:t>
      </w:r>
      <w:r w:rsidRPr="0090575D">
        <w:rPr>
          <w:szCs w:val="24"/>
        </w:rPr>
        <w:t xml:space="preserve">emerging mixed economy of credit which targets the financially vulnerable” </w:t>
      </w:r>
      <w:r>
        <w:rPr>
          <w:noProof/>
          <w:szCs w:val="24"/>
        </w:rPr>
        <w:t>(Pollard et al. 2020)</w:t>
      </w:r>
      <w:r>
        <w:rPr>
          <w:szCs w:val="24"/>
        </w:rPr>
        <w:t>. In some ways, this isn’t new – five years ago, Anglicare Tasmania warned about the potential harms of ‘payday’ loans</w:t>
      </w:r>
      <w:r w:rsidRPr="001C1B3E">
        <w:t xml:space="preserve"> </w:t>
      </w:r>
      <w:r>
        <w:rPr>
          <w:noProof/>
          <w:szCs w:val="24"/>
        </w:rPr>
        <w:t>(Anglicare Tasmania 2018)</w:t>
      </w:r>
      <w:r>
        <w:rPr>
          <w:szCs w:val="24"/>
        </w:rPr>
        <w:t>. The emergence of BNPL products represents another attempt by credit providers to operate on the margins of credit regulation in Australia; in doing so, they risk causing harm to their more vulnerable customers.</w:t>
      </w:r>
    </w:p>
    <w:p w14:paraId="14CA5A35" w14:textId="77777777" w:rsidR="001702AE" w:rsidRDefault="001702AE" w:rsidP="006B54C7">
      <w:pPr>
        <w:pStyle w:val="Heading2"/>
      </w:pPr>
      <w:bookmarkStart w:id="104" w:name="_Toc130396344"/>
      <w:bookmarkStart w:id="105" w:name="_Toc131232895"/>
      <w:r>
        <w:t>7.2 Clients with Buy Now Pay Later debts are more likely to experience disadvantage across multiple life domains</w:t>
      </w:r>
      <w:bookmarkEnd w:id="104"/>
      <w:bookmarkEnd w:id="105"/>
    </w:p>
    <w:p w14:paraId="31F36F28" w14:textId="77777777" w:rsidR="001702AE" w:rsidRDefault="001702AE" w:rsidP="006B54C7">
      <w:pPr>
        <w:spacing w:after="240"/>
      </w:pPr>
      <w:r>
        <w:t xml:space="preserve">Our research has revealed that clients with BNPL debts who accessed Anglicare Tasmania’s Financial Counselling service in 2022 were more likely to be young, female, Aboriginal and/or Torres Strait Islander, and experience social or economic disadvantage across a range of measures. While almost all the clients across both groups were disadvantaged, our research found that clients with BNPL debts were, on average, </w:t>
      </w:r>
      <w:r w:rsidRPr="00BB398B">
        <w:rPr>
          <w:i/>
        </w:rPr>
        <w:t>even</w:t>
      </w:r>
      <w:r>
        <w:t xml:space="preserve"> </w:t>
      </w:r>
      <w:r w:rsidRPr="00A63037">
        <w:rPr>
          <w:i/>
        </w:rPr>
        <w:t xml:space="preserve">more </w:t>
      </w:r>
      <w:r w:rsidRPr="00002BFC">
        <w:rPr>
          <w:iCs/>
        </w:rPr>
        <w:t>disadvantaged</w:t>
      </w:r>
      <w:r>
        <w:t xml:space="preserve"> than those with no BNPL debts, and this was often evident across multiple life domains. </w:t>
      </w:r>
    </w:p>
    <w:p w14:paraId="62FC2B72" w14:textId="77777777" w:rsidR="001702AE" w:rsidRDefault="001702AE" w:rsidP="006B54C7">
      <w:pPr>
        <w:spacing w:after="240"/>
      </w:pPr>
      <w:r>
        <w:t>For an overview of these findings, refer to Our Research &amp; Findings, or for more detailed information, refer to chapters 4 and 5.</w:t>
      </w:r>
    </w:p>
    <w:p w14:paraId="7F1B8D0D" w14:textId="77777777" w:rsidR="001702AE" w:rsidRPr="007670B6" w:rsidRDefault="001702AE" w:rsidP="006B54C7">
      <w:pPr>
        <w:pStyle w:val="Heading2"/>
      </w:pPr>
      <w:bookmarkStart w:id="106" w:name="_Toc130396345"/>
      <w:bookmarkStart w:id="107" w:name="_Toc131232896"/>
      <w:r w:rsidRPr="001F67CF">
        <w:rPr>
          <w:rStyle w:val="Heading2Char"/>
          <w:b/>
        </w:rPr>
        <w:t>7.3</w:t>
      </w:r>
      <w:r w:rsidRPr="007670B6">
        <w:t xml:space="preserve"> </w:t>
      </w:r>
      <w:r>
        <w:t>Buy Now Pay Later</w:t>
      </w:r>
      <w:r w:rsidRPr="007670B6">
        <w:t xml:space="preserve"> products are targeted to young people and adding to their debt levels</w:t>
      </w:r>
      <w:bookmarkEnd w:id="106"/>
      <w:bookmarkEnd w:id="107"/>
    </w:p>
    <w:p w14:paraId="5EFF275A" w14:textId="77777777" w:rsidR="001702AE" w:rsidRDefault="001702AE" w:rsidP="006B54C7">
      <w:pPr>
        <w:spacing w:after="240"/>
        <w:rPr>
          <w:rFonts w:cstheme="minorHAnsi"/>
        </w:rPr>
      </w:pPr>
      <w:r w:rsidRPr="00980EA8">
        <w:rPr>
          <w:rFonts w:cstheme="minorHAnsi"/>
        </w:rPr>
        <w:t>Our research has found that Financial Counselling clients</w:t>
      </w:r>
      <w:r>
        <w:rPr>
          <w:rFonts w:cstheme="minorHAnsi"/>
        </w:rPr>
        <w:t xml:space="preserve"> with BNPL debts are much more likely to be under 25 years old than clients with no BNPL debts. Young people are thought to be the primary target demographic of BNPL products and other emerging fintech credit products </w:t>
      </w:r>
      <w:r>
        <w:rPr>
          <w:rFonts w:cstheme="minorHAnsi"/>
          <w:noProof/>
        </w:rPr>
        <w:t>(Coffey et al. 2023)</w:t>
      </w:r>
      <w:r>
        <w:rPr>
          <w:rFonts w:cstheme="minorHAnsi"/>
        </w:rPr>
        <w:t xml:space="preserve">. This targeting has implications for young people’s financial lives and everyday decision-making: “through the ubiquity of consumer credit, debt becomes a routine, normalised and highly accessible aspect of everyday life, central to how young people manage their lives and plan for their futures” </w:t>
      </w:r>
      <w:r>
        <w:rPr>
          <w:rFonts w:cstheme="minorHAnsi"/>
          <w:noProof/>
        </w:rPr>
        <w:t>(Coffey et al. 2023)</w:t>
      </w:r>
      <w:r>
        <w:rPr>
          <w:rFonts w:cstheme="minorHAnsi"/>
        </w:rPr>
        <w:t xml:space="preserve">. </w:t>
      </w:r>
    </w:p>
    <w:p w14:paraId="7D959CCE" w14:textId="77777777" w:rsidR="001702AE" w:rsidRDefault="001702AE">
      <w:pPr>
        <w:spacing w:before="0" w:after="0"/>
        <w:rPr>
          <w:rFonts w:cstheme="minorHAnsi"/>
        </w:rPr>
      </w:pPr>
      <w:r>
        <w:rPr>
          <w:rFonts w:cstheme="minorHAnsi"/>
        </w:rPr>
        <w:br w:type="page"/>
      </w:r>
    </w:p>
    <w:p w14:paraId="6FAD875D" w14:textId="77777777" w:rsidR="001702AE" w:rsidRDefault="001702AE" w:rsidP="006B54C7">
      <w:pPr>
        <w:spacing w:after="240"/>
        <w:rPr>
          <w:rFonts w:cstheme="minorHAnsi"/>
        </w:rPr>
      </w:pPr>
      <w:r w:rsidRPr="00F3686A">
        <w:rPr>
          <w:rFonts w:cstheme="minorHAnsi"/>
        </w:rPr>
        <w:lastRenderedPageBreak/>
        <w:t xml:space="preserve">Concern about potential harms to young people from using BNPL products motivated research by the NSW Council of Social Service. </w:t>
      </w:r>
      <w:r>
        <w:rPr>
          <w:rFonts w:cstheme="minorHAnsi"/>
        </w:rPr>
        <w:t>Their survey of</w:t>
      </w:r>
      <w:r w:rsidRPr="00F3686A">
        <w:rPr>
          <w:rFonts w:cstheme="minorHAnsi"/>
        </w:rPr>
        <w:t xml:space="preserve"> young people aged 18-24 years</w:t>
      </w:r>
      <w:r>
        <w:rPr>
          <w:rFonts w:cstheme="minorHAnsi"/>
        </w:rPr>
        <w:t xml:space="preserve"> found</w:t>
      </w:r>
      <w:r w:rsidRPr="00F3686A">
        <w:rPr>
          <w:rFonts w:cstheme="minorHAnsi"/>
        </w:rPr>
        <w:t xml:space="preserve"> that </w:t>
      </w:r>
      <w:r>
        <w:rPr>
          <w:rFonts w:cstheme="minorHAnsi"/>
        </w:rPr>
        <w:t xml:space="preserve">BNPL products were popular in this age group. Almost two thirds of respondents only made positive statements about BNPL, including that it was “easy to use”, “useful”, “convenient”, “good for when you were low on money or for purchasing unaffordable items” and “helpful with budgeting” </w:t>
      </w:r>
      <w:r>
        <w:rPr>
          <w:rFonts w:cstheme="minorHAnsi"/>
          <w:noProof/>
        </w:rPr>
        <w:t>(NSW Council of Social Service 2021)</w:t>
      </w:r>
      <w:r>
        <w:rPr>
          <w:rFonts w:cstheme="minorHAnsi"/>
        </w:rPr>
        <w:t xml:space="preserve">. BNPL appealed more to some young people than others: they </w:t>
      </w:r>
      <w:r w:rsidRPr="00F3686A">
        <w:rPr>
          <w:rFonts w:cstheme="minorHAnsi"/>
        </w:rPr>
        <w:t xml:space="preserve">were more likely to </w:t>
      </w:r>
      <w:r>
        <w:rPr>
          <w:rFonts w:cstheme="minorHAnsi"/>
        </w:rPr>
        <w:t>report using</w:t>
      </w:r>
      <w:r w:rsidRPr="00F3686A">
        <w:rPr>
          <w:rFonts w:cstheme="minorHAnsi"/>
        </w:rPr>
        <w:t xml:space="preserve"> BNPL if t</w:t>
      </w:r>
      <w:r>
        <w:rPr>
          <w:rFonts w:cstheme="minorHAnsi"/>
        </w:rPr>
        <w:t>hey</w:t>
      </w:r>
      <w:r w:rsidRPr="00F3686A">
        <w:rPr>
          <w:rFonts w:cstheme="minorHAnsi"/>
        </w:rPr>
        <w:t xml:space="preserve"> had disabilities, were living in regional </w:t>
      </w:r>
      <w:r>
        <w:rPr>
          <w:rFonts w:cstheme="minorHAnsi"/>
        </w:rPr>
        <w:t xml:space="preserve">or </w:t>
      </w:r>
      <w:r w:rsidRPr="00F3686A">
        <w:rPr>
          <w:rFonts w:cstheme="minorHAnsi"/>
        </w:rPr>
        <w:t>low</w:t>
      </w:r>
      <w:r>
        <w:rPr>
          <w:rFonts w:cstheme="minorHAnsi"/>
        </w:rPr>
        <w:t>-to-medium</w:t>
      </w:r>
      <w:r w:rsidRPr="00F3686A">
        <w:rPr>
          <w:rFonts w:cstheme="minorHAnsi"/>
        </w:rPr>
        <w:t xml:space="preserve"> socioeconomic areas</w:t>
      </w:r>
      <w:r>
        <w:rPr>
          <w:rFonts w:cstheme="minorHAnsi"/>
        </w:rPr>
        <w:t>, or living independently from family</w:t>
      </w:r>
      <w:r w:rsidRPr="00F3686A">
        <w:rPr>
          <w:rFonts w:cstheme="minorHAnsi"/>
        </w:rPr>
        <w:t xml:space="preserve"> </w:t>
      </w:r>
      <w:r>
        <w:rPr>
          <w:rFonts w:cstheme="minorHAnsi"/>
          <w:noProof/>
        </w:rPr>
        <w:t>(NSW Council of Social Service 2021)</w:t>
      </w:r>
      <w:r>
        <w:rPr>
          <w:rFonts w:cstheme="minorHAnsi"/>
        </w:rPr>
        <w:t>.</w:t>
      </w:r>
    </w:p>
    <w:p w14:paraId="6F2EF6CA" w14:textId="598BF664" w:rsidR="001702AE" w:rsidRPr="00F3686A" w:rsidRDefault="001702AE" w:rsidP="006B54C7">
      <w:pPr>
        <w:spacing w:after="240"/>
        <w:rPr>
          <w:rFonts w:cstheme="minorHAnsi"/>
        </w:rPr>
      </w:pPr>
      <w:r>
        <w:rPr>
          <w:rFonts w:cstheme="minorHAnsi"/>
        </w:rPr>
        <w:t xml:space="preserve">Qualitative research into experiences of indebtedness found that young people see BNPL as likely to be attractive to “naïve” young people, “who are drawn to its ‘cheeky’ and ‘fun’ appeal as a way of meeting their consumption desires” </w:t>
      </w:r>
      <w:r>
        <w:rPr>
          <w:rFonts w:cstheme="minorHAnsi"/>
          <w:noProof/>
        </w:rPr>
        <w:t>(Coffey et al. 2023)</w:t>
      </w:r>
      <w:r>
        <w:rPr>
          <w:rFonts w:cstheme="minorHAnsi"/>
        </w:rPr>
        <w:t xml:space="preserve">. </w:t>
      </w:r>
      <w:r w:rsidR="00B0567E">
        <w:rPr>
          <w:rFonts w:cstheme="minorHAnsi"/>
        </w:rPr>
        <w:t>However,</w:t>
      </w:r>
      <w:r>
        <w:rPr>
          <w:rFonts w:cstheme="minorHAnsi"/>
        </w:rPr>
        <w:t xml:space="preserve"> these researchers also identified adverse impacts of indebtedness, and BNPL debts in particular, on young people’s wellbeing: they reported feelings of shame, anxiety, helplessness and isolation when in debt</w:t>
      </w:r>
      <w:r w:rsidRPr="00B4024A">
        <w:t xml:space="preserve"> </w:t>
      </w:r>
      <w:r>
        <w:rPr>
          <w:rFonts w:cstheme="minorHAnsi"/>
          <w:noProof/>
        </w:rPr>
        <w:t>(Coffey et al. 2023)</w:t>
      </w:r>
      <w:r>
        <w:rPr>
          <w:rFonts w:cstheme="minorHAnsi"/>
        </w:rPr>
        <w:t>. The appeal of BNPL for young people and its risk of harm has particular significance given young people’s relative economic and social precarity in Australia, including higher rates of poverty and unemployment, during a critical life stage. Unmanageable debt is not conducive to a young person moving toward their adult life with optimism and confidence.</w:t>
      </w:r>
    </w:p>
    <w:p w14:paraId="77BE94E5" w14:textId="77777777" w:rsidR="001702AE" w:rsidRPr="009B228F" w:rsidRDefault="001702AE" w:rsidP="006B54C7">
      <w:pPr>
        <w:pStyle w:val="Heading2"/>
        <w:rPr>
          <w:rFonts w:asciiTheme="minorHAnsi" w:eastAsiaTheme="minorHAnsi" w:hAnsiTheme="minorHAnsi" w:cstheme="minorBidi"/>
          <w:color w:val="auto"/>
          <w:szCs w:val="22"/>
        </w:rPr>
      </w:pPr>
      <w:bookmarkStart w:id="108" w:name="_Toc130396346"/>
      <w:bookmarkStart w:id="109" w:name="_Toc131232897"/>
      <w:r>
        <w:t>7.4 Buy Now Pay Later debts are adding to an already complex picture of indebtedness for clients</w:t>
      </w:r>
      <w:bookmarkEnd w:id="108"/>
      <w:bookmarkEnd w:id="109"/>
    </w:p>
    <w:p w14:paraId="65631C96" w14:textId="77777777" w:rsidR="001702AE" w:rsidRDefault="001702AE" w:rsidP="006B54C7">
      <w:pPr>
        <w:spacing w:after="240"/>
      </w:pPr>
      <w:r>
        <w:t xml:space="preserve">Our research provides evidence of the extent and complexity of the indebtedness experience by many clients of Anglicare Tasmania’s Financial Counselling services. While clients hadn’t generally accrued higher BNPL debts compared to their non-BNPL debts, their BNPL debts added another layer of complexity and difficulty to an already complex picture of indebtedness experienced by many clients in financial stress, and possibly delayed their seeking assistance to address debt issues. As well, recent research has found that, especially for low-value debts, the effective rates of interest for BNPL products (once late fees or other charges kick in) can be higher than for credit cards, and quickly grow someone’s debt levels </w:t>
      </w:r>
      <w:r>
        <w:rPr>
          <w:noProof/>
        </w:rPr>
        <w:t>(Duong et al. 2022)</w:t>
      </w:r>
      <w:r>
        <w:t>.</w:t>
      </w:r>
    </w:p>
    <w:p w14:paraId="264C8906" w14:textId="77777777" w:rsidR="001702AE" w:rsidRDefault="001702AE" w:rsidP="006B54C7">
      <w:pPr>
        <w:spacing w:after="240"/>
      </w:pPr>
      <w:r>
        <w:t xml:space="preserve">Information is not routinely recorded in Anglicare Tasmania’s Case Files about </w:t>
      </w:r>
      <w:r w:rsidRPr="0064217C">
        <w:rPr>
          <w:i/>
        </w:rPr>
        <w:t xml:space="preserve">when </w:t>
      </w:r>
      <w:r>
        <w:t xml:space="preserve">clients incurred each debt they report. As such, it wasn’t possible for us to determine whether clients with BNPL debts accrued them </w:t>
      </w:r>
      <w:r w:rsidRPr="0064217C">
        <w:rPr>
          <w:iCs/>
        </w:rPr>
        <w:t>before or after</w:t>
      </w:r>
      <w:r>
        <w:t xml:space="preserve"> accruing other types of debt or credit. However, most BNPL products do not require credit checks prior to approval, so it is certainly possible for someone to have a large number of debts and/or a high value of debts relative to their income, and still be approved for a BNPL account. In research by debt management charity Way Forward, 63% of their clients who use BNPL said they had used these credit products “when no other sources of credit were available” </w:t>
      </w:r>
      <w:r>
        <w:rPr>
          <w:noProof/>
        </w:rPr>
        <w:t>(Way Forward 2022)</w:t>
      </w:r>
      <w:r>
        <w:t xml:space="preserve">. Due to their ‘frictionless’ nature, there’s every opportunity for people in financial stress to accrue BNPL debts which quickly become unmanageable for them. </w:t>
      </w:r>
    </w:p>
    <w:p w14:paraId="61317F8C" w14:textId="77777777" w:rsidR="001702AE" w:rsidRDefault="001702AE" w:rsidP="006B54C7">
      <w:pPr>
        <w:spacing w:after="240"/>
      </w:pPr>
      <w:r>
        <w:t xml:space="preserve">BNPL is a </w:t>
      </w:r>
      <w:r w:rsidRPr="002946EF">
        <w:rPr>
          <w:b/>
          <w:color w:val="248EB9"/>
        </w:rPr>
        <w:t>fintech</w:t>
      </w:r>
      <w:r>
        <w:t xml:space="preserve"> product which relies on electronic banking: repayments are made by means of pre-scheduled, electronic deductions from clients’ bank accounts. As such, clients can find themselves in a situation where, almost immediately after receiving income in their bank account, they find they have insufficient funds to meet other essential needs or financial commitments, because their BNPL provider has withdrawn one or more repayments from their bank account. For some clients, this means going without essentials or entering (or travelling further down) a debt spiral. While ‘problem’ or unmanageable debt does not in itself cause poverty, it can push people further into it: “the </w:t>
      </w:r>
      <w:r>
        <w:lastRenderedPageBreak/>
        <w:t xml:space="preserve">consequences of problem debt can adversely affect standards of living and well-being, because servicing debt reduces disposable income. This can deepen people’s poverty…” </w:t>
      </w:r>
      <w:r>
        <w:rPr>
          <w:noProof/>
        </w:rPr>
        <w:t>(Hartfree &amp; Collard 2015)</w:t>
      </w:r>
      <w:r>
        <w:t xml:space="preserve">. </w:t>
      </w:r>
    </w:p>
    <w:p w14:paraId="42F70BEE" w14:textId="77777777" w:rsidR="001702AE" w:rsidRDefault="001702AE" w:rsidP="006B54C7">
      <w:pPr>
        <w:spacing w:after="240"/>
      </w:pPr>
      <w:r>
        <w:t>Not all the debts that Financial Counselling clients reported were inherently harmful – either because they reflect a long-term asset-building strategy (</w:t>
      </w:r>
      <w:proofErr w:type="gramStart"/>
      <w:r>
        <w:t>e.g.</w:t>
      </w:r>
      <w:proofErr w:type="gramEnd"/>
      <w:r>
        <w:t xml:space="preserve"> paying off a mortgage on a place of residence) or because those debts are taken out with fair or affordable repayment terms (e.g. loans provided by NILS or Centrelink advance payments). However, those debts still add to the total picture of indebtedness for a Financial Counselling client, and need to be considered in negotiating repayment terms with creditors.</w:t>
      </w:r>
    </w:p>
    <w:p w14:paraId="1A917CC9" w14:textId="77777777" w:rsidR="001702AE" w:rsidRDefault="001702AE" w:rsidP="006B54C7">
      <w:pPr>
        <w:pStyle w:val="Heading2"/>
      </w:pPr>
      <w:bookmarkStart w:id="110" w:name="_Toc130396347"/>
      <w:bookmarkStart w:id="111" w:name="_Toc131232898"/>
      <w:r>
        <w:t>7.5 Buy Now Pay Later debts complicate financial stress and mental illness</w:t>
      </w:r>
      <w:bookmarkEnd w:id="110"/>
      <w:bookmarkEnd w:id="111"/>
    </w:p>
    <w:p w14:paraId="5A6CDDE5" w14:textId="77777777" w:rsidR="001702AE" w:rsidRDefault="001702AE" w:rsidP="006B54C7">
      <w:pPr>
        <w:spacing w:after="240"/>
      </w:pPr>
      <w:r>
        <w:t xml:space="preserve">More than half of clients with BNPL debts reported either </w:t>
      </w:r>
      <w:r w:rsidRPr="004B0F84">
        <w:rPr>
          <w:b/>
          <w:color w:val="1598CB"/>
        </w:rPr>
        <w:t>‘psychiatric disability’</w:t>
      </w:r>
      <w:r w:rsidRPr="004B0F84">
        <w:rPr>
          <w:color w:val="1598CB"/>
        </w:rPr>
        <w:t xml:space="preserve"> </w:t>
      </w:r>
      <w:r>
        <w:t xml:space="preserve">or </w:t>
      </w:r>
      <w:r w:rsidRPr="00DD6A1F">
        <w:rPr>
          <w:b/>
          <w:color w:val="1598CB"/>
        </w:rPr>
        <w:t>mental illness or mental health difficulties</w:t>
      </w:r>
      <w:r>
        <w:t xml:space="preserve">. As well, almost all of them were likely to be experiencing </w:t>
      </w:r>
      <w:r w:rsidRPr="004B0F84">
        <w:rPr>
          <w:b/>
          <w:color w:val="1598CB"/>
        </w:rPr>
        <w:t>financial stress</w:t>
      </w:r>
      <w:r>
        <w:t xml:space="preserve">, which is defined as “an inability to pay regular bills or to meet basic needs” and is also characterised by worry or stress </w:t>
      </w:r>
      <w:r>
        <w:rPr>
          <w:noProof/>
        </w:rPr>
        <w:t>(Botha et al. 2022)</w:t>
      </w:r>
      <w:r>
        <w:t xml:space="preserve">. </w:t>
      </w:r>
    </w:p>
    <w:p w14:paraId="1D8980D8" w14:textId="77777777" w:rsidR="001702AE" w:rsidRDefault="001702AE" w:rsidP="006B54C7">
      <w:pPr>
        <w:spacing w:after="240"/>
      </w:pPr>
      <w:r w:rsidRPr="004B0F84">
        <w:t>Financial stress</w:t>
      </w:r>
      <w:r w:rsidRPr="00A25CA0">
        <w:rPr>
          <w:color w:val="248EB9"/>
        </w:rPr>
        <w:t xml:space="preserve"> </w:t>
      </w:r>
      <w:r>
        <w:t xml:space="preserve">has negative impacts on a person’s social participation, physical health, mental health and overall life satisfaction </w:t>
      </w:r>
      <w:r>
        <w:rPr>
          <w:noProof/>
        </w:rPr>
        <w:t>(Guan et al. 2022; AIHW 2021; Best 2022)</w:t>
      </w:r>
      <w:r>
        <w:t>. Australian research interrogating the HILDA dataset found that the relationship between financial difficulties and mental health was cumulative and operated in two directions, such that: “financial challenges can cause a decline in mental health, and mental health challenges can cause a decline in financial wellbeing”</w:t>
      </w:r>
      <w:r w:rsidRPr="000D12DE">
        <w:t xml:space="preserve"> </w:t>
      </w:r>
      <w:r>
        <w:rPr>
          <w:noProof/>
        </w:rPr>
        <w:t>(Heartward Strategic 2022)</w:t>
      </w:r>
      <w:r>
        <w:t xml:space="preserve">. </w:t>
      </w:r>
    </w:p>
    <w:p w14:paraId="3F20B277" w14:textId="77777777" w:rsidR="001702AE" w:rsidRDefault="001702AE" w:rsidP="006B54C7">
      <w:pPr>
        <w:spacing w:after="240"/>
      </w:pPr>
      <w:r>
        <w:t>Problems with debt, such as falling behind on loan repayments and bills, and having credit card debt and ‘payday’ loans, is associated with developing new mental health conditions or the worsening of existing conditions, thought to be driven by greater anxiety, low self-esteem and feelings of hopelessness</w:t>
      </w:r>
      <w:r w:rsidRPr="000C65AC">
        <w:t xml:space="preserve"> </w:t>
      </w:r>
      <w:r>
        <w:rPr>
          <w:noProof/>
        </w:rPr>
        <w:t>(Botha et al. 2022)</w:t>
      </w:r>
      <w:r>
        <w:t xml:space="preserve">. In turn, some mental illnesses, especially those associated with ‘psychosocial disability’ or ‘psychiatric disability’, may contribute to financial stress via reduced income earning capacity and/or greater reliance on inadequate income support payments </w:t>
      </w:r>
      <w:r>
        <w:rPr>
          <w:noProof/>
        </w:rPr>
        <w:t>(Botha et al. 2022)</w:t>
      </w:r>
      <w:r>
        <w:t xml:space="preserve">. As well, the cognitive effects of particular mental health conditions may create difficulties with making considered spending decisions, advocating effectively with creditors or keeping on top of their bills </w:t>
      </w:r>
      <w:r>
        <w:rPr>
          <w:noProof/>
        </w:rPr>
        <w:t>(Heartward Strategic 2022)</w:t>
      </w:r>
      <w:r>
        <w:t>.</w:t>
      </w:r>
    </w:p>
    <w:p w14:paraId="646B4A75" w14:textId="77777777" w:rsidR="001702AE" w:rsidRPr="00D50BD2" w:rsidRDefault="001702AE" w:rsidP="006B54C7">
      <w:pPr>
        <w:spacing w:after="240"/>
      </w:pPr>
      <w:r>
        <w:t xml:space="preserve">Therefore, BNPL products, alongside other credit products, are a complicating factor in increasing people’s financial stress and placing downward pressure on their mental health. Observing the mental health impact of unmanageable debt on their clients, the charity Way Forward has argued that “all lenders must recognise that debt in all its forms, be it credit cards, payday loans or BNPL repayments, has the potential to create adverse mental health outcomes for individuals” </w:t>
      </w:r>
      <w:r>
        <w:rPr>
          <w:noProof/>
        </w:rPr>
        <w:t>(Way Forward 2022)</w:t>
      </w:r>
      <w:r>
        <w:t>.</w:t>
      </w:r>
    </w:p>
    <w:p w14:paraId="0314526F" w14:textId="77777777" w:rsidR="001702AE" w:rsidRDefault="001702AE">
      <w:pPr>
        <w:spacing w:before="0" w:after="0"/>
        <w:rPr>
          <w:rFonts w:ascii="Avenir Next Demi Bold" w:eastAsia="AvenirNextLTPro-Demi" w:hAnsi="Avenir Next Demi Bold" w:cs="AvenirNextLTPro-Demi"/>
          <w:b/>
          <w:color w:val="248EB9"/>
          <w:spacing w:val="-6"/>
          <w:sz w:val="36"/>
          <w:szCs w:val="36"/>
        </w:rPr>
      </w:pPr>
      <w:bookmarkStart w:id="112" w:name="_Toc130396348"/>
      <w:r>
        <w:br w:type="page"/>
      </w:r>
    </w:p>
    <w:p w14:paraId="3DAB1D54" w14:textId="77777777" w:rsidR="001702AE" w:rsidRDefault="001702AE" w:rsidP="006B54C7">
      <w:pPr>
        <w:pStyle w:val="Heading2"/>
      </w:pPr>
      <w:bookmarkStart w:id="113" w:name="_Toc131232899"/>
      <w:r>
        <w:lastRenderedPageBreak/>
        <w:t>7.6 Buy Now Pay Later debts can add to financial stress for victim survivors of family violence</w:t>
      </w:r>
      <w:bookmarkEnd w:id="112"/>
      <w:bookmarkEnd w:id="113"/>
    </w:p>
    <w:p w14:paraId="6890F16A" w14:textId="77777777" w:rsidR="001702AE" w:rsidRDefault="001702AE" w:rsidP="006B54C7">
      <w:pPr>
        <w:spacing w:after="240"/>
      </w:pPr>
      <w:r>
        <w:t xml:space="preserve">Research conducted by Good Shepherd found a link between BNPL and </w:t>
      </w:r>
      <w:r w:rsidRPr="000966E4">
        <w:rPr>
          <w:b/>
          <w:color w:val="1598CB"/>
        </w:rPr>
        <w:t>financial abuse</w:t>
      </w:r>
      <w:r w:rsidRPr="000966E4">
        <w:rPr>
          <w:color w:val="1598CB"/>
        </w:rPr>
        <w:t xml:space="preserve"> </w:t>
      </w:r>
      <w:r>
        <w:t xml:space="preserve">in the context of </w:t>
      </w:r>
      <w:r w:rsidRPr="00DD6A1F">
        <w:rPr>
          <w:b/>
          <w:color w:val="1598CB"/>
        </w:rPr>
        <w:t>family violence</w:t>
      </w:r>
      <w:r>
        <w:t xml:space="preserve">: some of their clients had been coerced into taking out BNPL debts or had accrued BNPL debts without their knowledge or received no benefit from them </w:t>
      </w:r>
      <w:r>
        <w:rPr>
          <w:noProof/>
        </w:rPr>
        <w:t>(Good Shepherd 2022)</w:t>
      </w:r>
      <w:r>
        <w:t xml:space="preserve">. Their practitioners reported seeing “coercive debt” in at least half of their clients with BNPL debts </w:t>
      </w:r>
      <w:r>
        <w:rPr>
          <w:noProof/>
        </w:rPr>
        <w:t>(Good Shepherd 2022)</w:t>
      </w:r>
      <w:r>
        <w:t xml:space="preserve">. </w:t>
      </w:r>
    </w:p>
    <w:p w14:paraId="1B8A4E72" w14:textId="77777777" w:rsidR="001702AE" w:rsidRDefault="001702AE" w:rsidP="006B54C7">
      <w:pPr>
        <w:spacing w:after="240"/>
      </w:pPr>
      <w:r>
        <w:t xml:space="preserve">The </w:t>
      </w:r>
      <w:r w:rsidRPr="00DD6A1F">
        <w:rPr>
          <w:b/>
          <w:color w:val="1598CB"/>
        </w:rPr>
        <w:t>frictionless</w:t>
      </w:r>
      <w:r>
        <w:t xml:space="preserve"> nature of BNPL products make them susceptible to being used by family violence perpetrators: many of the BNPL products can be initiated and used after providing only a small amount of personal information, which makes it easier for perpetrators to open a BNPL account in someone else’s name without their knowledge </w:t>
      </w:r>
      <w:r>
        <w:rPr>
          <w:noProof/>
        </w:rPr>
        <w:t>(Good Shepherd 2022)</w:t>
      </w:r>
      <w:r>
        <w:t xml:space="preserve">. </w:t>
      </w:r>
    </w:p>
    <w:p w14:paraId="23F02436" w14:textId="77777777" w:rsidR="001702AE" w:rsidRDefault="001702AE" w:rsidP="006B54C7">
      <w:pPr>
        <w:spacing w:after="240"/>
      </w:pPr>
      <w:r>
        <w:t xml:space="preserve">At present, the National Financial Capability Strategy addresses </w:t>
      </w:r>
      <w:r w:rsidRPr="006A2E03">
        <w:t>financial abuse</w:t>
      </w:r>
      <w:r w:rsidRPr="00AF2DCD">
        <w:rPr>
          <w:color w:val="1598CB"/>
        </w:rPr>
        <w:t xml:space="preserve"> </w:t>
      </w:r>
      <w:r>
        <w:t xml:space="preserve">under its initiatives for adult women; understanding financial abuse is not included in the basic financial literacy curriculum for young people </w:t>
      </w:r>
      <w:r>
        <w:rPr>
          <w:noProof/>
        </w:rPr>
        <w:t>(Treasury 2022a)</w:t>
      </w:r>
      <w:r>
        <w:t>. Understanding and reducing financial abuse should be a specified outcome of the Strategy, with targeted initiatives developed and implemented for young people.</w:t>
      </w:r>
    </w:p>
    <w:p w14:paraId="4EA9F951" w14:textId="77777777" w:rsidR="001702AE" w:rsidRDefault="001702AE" w:rsidP="006B54C7">
      <w:pPr>
        <w:spacing w:after="240"/>
        <w:rPr>
          <w:sz w:val="20"/>
          <w:szCs w:val="20"/>
        </w:rPr>
      </w:pPr>
      <w:r>
        <w:t>In our research, we identified another potential avenue for harm arising from BNPL use by victim survivors of family violence. In the Case Files, there was evidence of a few women who were escaping family violence using BNPL to purchase essential household goods and items for children, despite often having very low incomes and high levels of indebtedness, which meant that other credit options were most likely not available to them. With easy application processes and ‘frictionless’ usage, BNPL may have helped those victim survivors to meet their urgent needs, but it has also saddled them with unmanageable and rapidly growing debts, adding to an already stressful situation.</w:t>
      </w:r>
      <w:r w:rsidRPr="00071421">
        <w:rPr>
          <w:sz w:val="20"/>
          <w:szCs w:val="20"/>
        </w:rPr>
        <w:t xml:space="preserve"> </w:t>
      </w:r>
    </w:p>
    <w:p w14:paraId="69CE8020" w14:textId="77777777" w:rsidR="001702AE" w:rsidRDefault="001702AE" w:rsidP="006B54C7">
      <w:pPr>
        <w:spacing w:after="240"/>
      </w:pPr>
      <w:r w:rsidRPr="00AD5955">
        <w:rPr>
          <w:szCs w:val="20"/>
        </w:rPr>
        <w:t>T</w:t>
      </w:r>
      <w:r w:rsidRPr="00071421">
        <w:rPr>
          <w:szCs w:val="20"/>
        </w:rPr>
        <w:t>he</w:t>
      </w:r>
      <w:r>
        <w:rPr>
          <w:szCs w:val="20"/>
        </w:rPr>
        <w:t xml:space="preserve"> Federal Government-funded</w:t>
      </w:r>
      <w:r w:rsidRPr="00071421">
        <w:rPr>
          <w:szCs w:val="20"/>
        </w:rPr>
        <w:t xml:space="preserve"> Escaping Violence Payment</w:t>
      </w:r>
      <w:r>
        <w:rPr>
          <w:szCs w:val="20"/>
        </w:rPr>
        <w:t xml:space="preserve"> (EVP)</w:t>
      </w:r>
      <w:r w:rsidRPr="00071421">
        <w:rPr>
          <w:szCs w:val="20"/>
        </w:rPr>
        <w:t xml:space="preserve"> offers eligible family violence victim survivors up to $5,000 in financial assistance, </w:t>
      </w:r>
      <w:r>
        <w:rPr>
          <w:szCs w:val="20"/>
        </w:rPr>
        <w:t xml:space="preserve">consisting of good and services, and </w:t>
      </w:r>
      <w:r w:rsidRPr="00071421">
        <w:rPr>
          <w:szCs w:val="20"/>
        </w:rPr>
        <w:t>up to $1,500 in cash, as well as case management support</w:t>
      </w:r>
      <w:r w:rsidRPr="00071421">
        <w:rPr>
          <w:rFonts w:cstheme="minorHAnsi"/>
          <w:szCs w:val="20"/>
          <w:shd w:val="clear" w:color="auto" w:fill="FFFFFF"/>
        </w:rPr>
        <w:t>. However, family violence practitioners have expressed concerned about</w:t>
      </w:r>
      <w:r>
        <w:rPr>
          <w:rFonts w:cstheme="minorHAnsi"/>
          <w:szCs w:val="20"/>
          <w:shd w:val="clear" w:color="auto" w:fill="FFFFFF"/>
        </w:rPr>
        <w:t xml:space="preserve"> </w:t>
      </w:r>
      <w:r w:rsidRPr="00071421">
        <w:rPr>
          <w:rFonts w:cstheme="minorHAnsi"/>
          <w:szCs w:val="20"/>
          <w:shd w:val="clear" w:color="auto" w:fill="FFFFFF"/>
        </w:rPr>
        <w:t xml:space="preserve">long approval wait-times and </w:t>
      </w:r>
      <w:r>
        <w:rPr>
          <w:rFonts w:cstheme="minorHAnsi"/>
          <w:szCs w:val="20"/>
          <w:shd w:val="clear" w:color="auto" w:fill="FFFFFF"/>
        </w:rPr>
        <w:t xml:space="preserve">the </w:t>
      </w:r>
      <w:r w:rsidRPr="00071421">
        <w:rPr>
          <w:rFonts w:cstheme="minorHAnsi"/>
          <w:szCs w:val="20"/>
          <w:shd w:val="clear" w:color="auto" w:fill="FFFFFF"/>
        </w:rPr>
        <w:t>small cash portion</w:t>
      </w:r>
      <w:r>
        <w:rPr>
          <w:rFonts w:cstheme="minorHAnsi"/>
          <w:szCs w:val="20"/>
          <w:shd w:val="clear" w:color="auto" w:fill="FFFFFF"/>
        </w:rPr>
        <w:t xml:space="preserve"> of the EVP, which constrains women’s choices during a crisis</w:t>
      </w:r>
      <w:r w:rsidRPr="00071421">
        <w:rPr>
          <w:rFonts w:cstheme="minorHAnsi"/>
          <w:szCs w:val="20"/>
          <w:shd w:val="clear" w:color="auto" w:fill="FFFFFF"/>
        </w:rPr>
        <w:t xml:space="preserve"> </w:t>
      </w:r>
      <w:r>
        <w:rPr>
          <w:rFonts w:cstheme="minorHAnsi"/>
          <w:noProof/>
          <w:szCs w:val="20"/>
          <w:shd w:val="clear" w:color="auto" w:fill="FFFFFF"/>
        </w:rPr>
        <w:t>(Taylor 2022)</w:t>
      </w:r>
      <w:r w:rsidRPr="00071421">
        <w:rPr>
          <w:rFonts w:cstheme="minorHAnsi"/>
          <w:szCs w:val="20"/>
          <w:shd w:val="clear" w:color="auto" w:fill="FFFFFF"/>
        </w:rPr>
        <w:t>.</w:t>
      </w:r>
      <w:r>
        <w:rPr>
          <w:rFonts w:cstheme="minorHAnsi"/>
          <w:szCs w:val="20"/>
          <w:shd w:val="clear" w:color="auto" w:fill="FFFFFF"/>
        </w:rPr>
        <w:t xml:space="preserve"> The Tasmanian Government also offers funding to victim survivors of family violence under its Flexible Support Packages.</w:t>
      </w:r>
      <w:r>
        <w:rPr>
          <w:rStyle w:val="FootnoteReference"/>
          <w:rFonts w:cstheme="minorHAnsi"/>
          <w:szCs w:val="20"/>
          <w:shd w:val="clear" w:color="auto" w:fill="FFFFFF"/>
        </w:rPr>
        <w:footnoteReference w:id="26"/>
      </w:r>
    </w:p>
    <w:p w14:paraId="32163473" w14:textId="77777777" w:rsidR="001702AE" w:rsidRDefault="001702AE" w:rsidP="006B54C7">
      <w:pPr>
        <w:pStyle w:val="Heading2"/>
      </w:pPr>
      <w:bookmarkStart w:id="114" w:name="_Toc130396349"/>
      <w:bookmarkStart w:id="115" w:name="_Toc131232900"/>
      <w:r>
        <w:t>7.7 Credit needs to be available and fair for people on low incomes or experiencing disadvantage</w:t>
      </w:r>
      <w:bookmarkEnd w:id="114"/>
      <w:bookmarkEnd w:id="115"/>
    </w:p>
    <w:p w14:paraId="18E6FE0A" w14:textId="77777777" w:rsidR="001702AE" w:rsidRDefault="001702AE" w:rsidP="006B54C7">
      <w:pPr>
        <w:spacing w:after="240"/>
      </w:pPr>
      <w:r>
        <w:t xml:space="preserve">Our survey of Financial Counsellors confirmed that BNPL products are much more widely used than 12 months ago, and many clients with BNPL debts were not aware that BNPL was a type of credit. While Financial Counsellors reported seeing few, if any, clients who were benefiting from using BNPL, many clients valued their access to BNPL products and didn’t want to stop using them. Similarly, Way Forward’s survey found that “people in financial difficulty are mainly positive towards BNPL and appreciate its simplicity and ease of access” </w:t>
      </w:r>
      <w:r>
        <w:rPr>
          <w:noProof/>
        </w:rPr>
        <w:t>(Way Forward 2022)</w:t>
      </w:r>
      <w:r>
        <w:t xml:space="preserve">. </w:t>
      </w:r>
    </w:p>
    <w:p w14:paraId="70AC8C70" w14:textId="77777777" w:rsidR="001702AE" w:rsidRDefault="001702AE">
      <w:pPr>
        <w:spacing w:before="0" w:after="0"/>
      </w:pPr>
      <w:r>
        <w:br w:type="page"/>
      </w:r>
    </w:p>
    <w:p w14:paraId="2694977B" w14:textId="77777777" w:rsidR="001702AE" w:rsidRDefault="001702AE" w:rsidP="006B54C7">
      <w:pPr>
        <w:spacing w:after="240"/>
      </w:pPr>
      <w:r>
        <w:lastRenderedPageBreak/>
        <w:t xml:space="preserve">BNPL is a low-stigma and readily accessible type of credit, and it is perhaps unsurprising that it appeals to people in financial stress. As Good Shepherd has observed, “BNPL has done a great job to remove the stigma of ‘bad credit’, when that is exactly what BNPL is” </w:t>
      </w:r>
      <w:r>
        <w:rPr>
          <w:noProof/>
        </w:rPr>
        <w:t>(Good Shepherd 2022)</w:t>
      </w:r>
      <w:r>
        <w:t>. And, as one of Anglicare Tasmania’s Financial Counsellors has observed, “Mostly it helps the client in the short term, but gives long-term financial pain”.</w:t>
      </w:r>
    </w:p>
    <w:p w14:paraId="2D8407A7" w14:textId="77777777" w:rsidR="001702AE" w:rsidRDefault="001702AE" w:rsidP="006B54C7">
      <w:pPr>
        <w:spacing w:after="240"/>
      </w:pPr>
      <w:r w:rsidRPr="00D91BCE">
        <w:t xml:space="preserve">However, excluding disadvantaged people from access to credit isn’t necessarily the solution. </w:t>
      </w:r>
      <w:r>
        <w:t xml:space="preserve">Doing so </w:t>
      </w:r>
      <w:r w:rsidRPr="00D91BCE">
        <w:t>risks pushing already vulnerable people into</w:t>
      </w:r>
      <w:r>
        <w:t xml:space="preserve"> a state of</w:t>
      </w:r>
      <w:r w:rsidRPr="00D91BCE">
        <w:t xml:space="preserve"> financial exclusion</w:t>
      </w:r>
      <w:r>
        <w:t>, in which</w:t>
      </w:r>
      <w:r w:rsidRPr="00D91BCE">
        <w:t xml:space="preserve"> </w:t>
      </w:r>
      <w:r>
        <w:t>“</w:t>
      </w:r>
      <w:r w:rsidRPr="00D91BCE">
        <w:t>individuals lack access to appropriate and affordable financial services and products</w:t>
      </w:r>
      <w:r>
        <w:t>”</w:t>
      </w:r>
      <w:r w:rsidRPr="00D91BCE">
        <w:t xml:space="preserve"> </w:t>
      </w:r>
      <w:r>
        <w:rPr>
          <w:noProof/>
        </w:rPr>
        <w:t>(Connolly 2014)</w:t>
      </w:r>
      <w:r>
        <w:t xml:space="preserve">. Being excluded from these financial services and products can have adverse consequences for someone’s social inclusion by reducing their ability to participate in valued social and economic activities </w:t>
      </w:r>
      <w:r>
        <w:rPr>
          <w:noProof/>
        </w:rPr>
        <w:t>(Pollard et al. 2020)</w:t>
      </w:r>
      <w:r>
        <w:t>. In Tasmania, as elsewhere in Australia, the No Interest Loans Scheme (NILS) reflects one response to the need to make safe, fair and affordable credit available to low income and other vulnerable people. (Refer to Box 9 below.)</w:t>
      </w:r>
    </w:p>
    <w:p w14:paraId="3D264D76" w14:textId="77777777" w:rsidR="001702AE" w:rsidRDefault="001702AE" w:rsidP="006B54C7">
      <w:pPr>
        <w:spacing w:after="240"/>
      </w:pPr>
    </w:p>
    <w:p w14:paraId="01767FC3" w14:textId="77777777" w:rsidR="001702AE" w:rsidRDefault="001702AE" w:rsidP="006B54C7">
      <w:pPr>
        <w:spacing w:after="240"/>
      </w:pPr>
      <w:r w:rsidRPr="00D076C0">
        <w:rPr>
          <w:noProof/>
        </w:rPr>
        <mc:AlternateContent>
          <mc:Choice Requires="wps">
            <w:drawing>
              <wp:inline distT="0" distB="0" distL="0" distR="0" wp14:anchorId="3EDF6C4C" wp14:editId="1C4A78ED">
                <wp:extent cx="6229350" cy="3238500"/>
                <wp:effectExtent l="0" t="0" r="0" b="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238500"/>
                        </a:xfrm>
                        <a:prstGeom prst="rect">
                          <a:avLst/>
                        </a:prstGeom>
                        <a:solidFill>
                          <a:srgbClr val="E6E3D9"/>
                        </a:solidFill>
                        <a:ln w="12700">
                          <a:noFill/>
                          <a:miter lim="800000"/>
                          <a:headEnd/>
                          <a:tailEnd/>
                        </a:ln>
                      </wps:spPr>
                      <wps:txbx>
                        <w:txbxContent>
                          <w:p w14:paraId="502852A8" w14:textId="77777777" w:rsidR="006B54C7" w:rsidRPr="000C716C" w:rsidRDefault="006B54C7" w:rsidP="006B54C7">
                            <w:pPr>
                              <w:rPr>
                                <w:b/>
                              </w:rPr>
                            </w:pPr>
                            <w:r w:rsidRPr="000C716C">
                              <w:rPr>
                                <w:b/>
                              </w:rPr>
                              <w:t xml:space="preserve">Box </w:t>
                            </w:r>
                            <w:r>
                              <w:rPr>
                                <w:b/>
                              </w:rPr>
                              <w:t>9</w:t>
                            </w:r>
                            <w:r w:rsidRPr="000C716C">
                              <w:rPr>
                                <w:b/>
                              </w:rPr>
                              <w:t>: No Interest Loans Scheme, Tasmania</w:t>
                            </w:r>
                          </w:p>
                          <w:p w14:paraId="35F7EA32" w14:textId="77777777" w:rsidR="006B54C7" w:rsidRDefault="006B54C7" w:rsidP="006B54C7">
                            <w:pPr>
                              <w:spacing w:after="240"/>
                            </w:pPr>
                            <w:r w:rsidRPr="00D076C0">
                              <w:t xml:space="preserve">The </w:t>
                            </w:r>
                            <w:r>
                              <w:t xml:space="preserve">No Interest Loans </w:t>
                            </w:r>
                            <w:r w:rsidRPr="00D076C0">
                              <w:t>concept was developed by Good Shepherd in Victoria and operates across Australia. Community lending started in Tasmania in 2002, when the NILS (No Interest Loans) Network of Tasmania Ltd was first established.</w:t>
                            </w:r>
                            <w:r>
                              <w:t xml:space="preserve"> </w:t>
                            </w:r>
                            <w:r w:rsidRPr="00D076C0">
                              <w:t>Since 2002</w:t>
                            </w:r>
                            <w:r>
                              <w:t>, NILS Tasmania has</w:t>
                            </w:r>
                            <w:r w:rsidRPr="00D076C0">
                              <w:t xml:space="preserve"> issued more than 31,000 loans totalling more than </w:t>
                            </w:r>
                            <w:r>
                              <w:t>$</w:t>
                            </w:r>
                            <w:r w:rsidRPr="00D076C0">
                              <w:t>30 million.</w:t>
                            </w:r>
                          </w:p>
                          <w:p w14:paraId="02E060FA" w14:textId="77777777" w:rsidR="006B54C7" w:rsidRDefault="006B54C7" w:rsidP="006B54C7">
                            <w:r>
                              <w:t>NILS Tasmania offers two types of loans (free from interest, fees or charges):</w:t>
                            </w:r>
                          </w:p>
                          <w:p w14:paraId="74F4FE01" w14:textId="77777777" w:rsidR="006B54C7" w:rsidRDefault="006B54C7" w:rsidP="005D72F8">
                            <w:pPr>
                              <w:pStyle w:val="Bullets"/>
                              <w:numPr>
                                <w:ilvl w:val="0"/>
                                <w:numId w:val="20"/>
                              </w:numPr>
                            </w:pPr>
                            <w:r w:rsidRPr="00673FBD">
                              <w:rPr>
                                <w:b/>
                              </w:rPr>
                              <w:t>Essentials Loans</w:t>
                            </w:r>
                            <w:r>
                              <w:t xml:space="preserve"> – </w:t>
                            </w:r>
                            <w:r w:rsidRPr="000C716C">
                              <w:t>up to $2,000 for the purchase of new items and services</w:t>
                            </w:r>
                            <w:r>
                              <w:t>, for Household Essentials, Education Essentials, Family Violence Support, Car Care Essentials, Medical and Dental Essentials, Family Violence Support or Refugee Family Reunion.</w:t>
                            </w:r>
                          </w:p>
                          <w:p w14:paraId="75C16C7D" w14:textId="77777777" w:rsidR="006B54C7" w:rsidRDefault="006B54C7" w:rsidP="005D72F8">
                            <w:pPr>
                              <w:pStyle w:val="Bullets"/>
                              <w:numPr>
                                <w:ilvl w:val="0"/>
                                <w:numId w:val="20"/>
                              </w:numPr>
                            </w:pPr>
                            <w:r w:rsidRPr="00673FBD">
                              <w:rPr>
                                <w:b/>
                              </w:rPr>
                              <w:t xml:space="preserve">MicroBusiness Loans </w:t>
                            </w:r>
                            <w:r w:rsidRPr="000C716C">
                              <w:t>– up to $3,000 to start a new business or boost an existing one,</w:t>
                            </w:r>
                            <w:r>
                              <w:t xml:space="preserve"> for start-up costs, insurance/registration costs or equipment purchases. </w:t>
                            </w:r>
                          </w:p>
                          <w:p w14:paraId="186BFF8F" w14:textId="77777777" w:rsidR="006B54C7" w:rsidRDefault="006B54C7" w:rsidP="006B54C7">
                            <w:pPr>
                              <w:spacing w:before="240"/>
                            </w:pPr>
                            <w:r>
                              <w:rPr>
                                <w:szCs w:val="24"/>
                              </w:rPr>
                              <w:t xml:space="preserve">For more details, see </w:t>
                            </w:r>
                            <w:hyperlink r:id="rId22" w:history="1">
                              <w:r>
                                <w:rPr>
                                  <w:rStyle w:val="Hyperlink"/>
                                </w:rPr>
                                <w:t>NILS Tasmania</w:t>
                              </w:r>
                            </w:hyperlink>
                            <w:r>
                              <w:t>.</w:t>
                            </w:r>
                          </w:p>
                        </w:txbxContent>
                      </wps:txbx>
                      <wps:bodyPr rot="0" vert="horz" wrap="square" lIns="91440" tIns="45720" rIns="91440" bIns="45720" anchor="t" anchorCtr="0">
                        <a:noAutofit/>
                      </wps:bodyPr>
                    </wps:wsp>
                  </a:graphicData>
                </a:graphic>
              </wp:inline>
            </w:drawing>
          </mc:Choice>
          <mc:Fallback>
            <w:pict>
              <v:shape w14:anchorId="3EDF6C4C" id="Text Box 2" o:spid="_x0000_s1035" type="#_x0000_t202" style="width:490.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" fillcolor="#e6e3d9" stroked="f" strokeweight="1pt">
                <v:textbox>
                  <w:txbxContent>
                    <w:p w14:paraId="502852A8" w14:textId="77777777" w:rsidR="006B54C7" w:rsidRPr="000C716C" w:rsidRDefault="006B54C7" w:rsidP="006B54C7">
                      <w:pPr>
                        <w:rPr>
                          <w:b/>
                        </w:rPr>
                      </w:pPr>
                      <w:r w:rsidRPr="000C716C">
                        <w:rPr>
                          <w:b/>
                        </w:rPr>
                        <w:t xml:space="preserve">Box </w:t>
                      </w:r>
                      <w:r>
                        <w:rPr>
                          <w:b/>
                        </w:rPr>
                        <w:t>9</w:t>
                      </w:r>
                      <w:r w:rsidRPr="000C716C">
                        <w:rPr>
                          <w:b/>
                        </w:rPr>
                        <w:t>: No Interest Loans Scheme, Tasmania</w:t>
                      </w:r>
                    </w:p>
                    <w:p w14:paraId="35F7EA32" w14:textId="77777777" w:rsidR="006B54C7" w:rsidRDefault="006B54C7" w:rsidP="006B54C7">
                      <w:pPr>
                        <w:spacing w:after="240"/>
                      </w:pPr>
                      <w:r w:rsidRPr="00D076C0">
                        <w:t xml:space="preserve">The </w:t>
                      </w:r>
                      <w:r>
                        <w:t xml:space="preserve">No Interest Loans </w:t>
                      </w:r>
                      <w:r w:rsidRPr="00D076C0">
                        <w:t>concept was developed by Good Shepherd in Victoria and operates across Australia. Community lending started in Tasmania in 2002, when the NILS (No Interest Loans) Network of Tasmania Ltd was first established.</w:t>
                      </w:r>
                      <w:r>
                        <w:t xml:space="preserve"> </w:t>
                      </w:r>
                      <w:r w:rsidRPr="00D076C0">
                        <w:t>Since 2002</w:t>
                      </w:r>
                      <w:r>
                        <w:t>, NILS Tasmania has</w:t>
                      </w:r>
                      <w:r w:rsidRPr="00D076C0">
                        <w:t xml:space="preserve"> issued more than 31,000 loans totalling more than </w:t>
                      </w:r>
                      <w:r>
                        <w:t>$</w:t>
                      </w:r>
                      <w:r w:rsidRPr="00D076C0">
                        <w:t>30 million.</w:t>
                      </w:r>
                    </w:p>
                    <w:p w14:paraId="02E060FA" w14:textId="77777777" w:rsidR="006B54C7" w:rsidRDefault="006B54C7" w:rsidP="006B54C7">
                      <w:r>
                        <w:t>NILS Tasmania offers two types of loans (free from interest, fees or charges):</w:t>
                      </w:r>
                    </w:p>
                    <w:p w14:paraId="74F4FE01" w14:textId="77777777" w:rsidR="006B54C7" w:rsidRDefault="006B54C7" w:rsidP="005D72F8">
                      <w:pPr>
                        <w:pStyle w:val="Bullets"/>
                        <w:numPr>
                          <w:ilvl w:val="0"/>
                          <w:numId w:val="20"/>
                        </w:numPr>
                      </w:pPr>
                      <w:r w:rsidRPr="00673FBD">
                        <w:rPr>
                          <w:b/>
                        </w:rPr>
                        <w:t>Essentials Loans</w:t>
                      </w:r>
                      <w:r>
                        <w:t xml:space="preserve"> – </w:t>
                      </w:r>
                      <w:r w:rsidRPr="000C716C">
                        <w:t>up to $2,000 for the purchase of new items and services</w:t>
                      </w:r>
                      <w:r>
                        <w:t>, for Household Essentials, Education Essentials, Family Violence Support, Car Care Essentials, Medical and Dental Essentials, Family Violence Support or Refugee Family Reunion.</w:t>
                      </w:r>
                    </w:p>
                    <w:p w14:paraId="75C16C7D" w14:textId="77777777" w:rsidR="006B54C7" w:rsidRDefault="006B54C7" w:rsidP="005D72F8">
                      <w:pPr>
                        <w:pStyle w:val="Bullets"/>
                        <w:numPr>
                          <w:ilvl w:val="0"/>
                          <w:numId w:val="20"/>
                        </w:numPr>
                      </w:pPr>
                      <w:r w:rsidRPr="00673FBD">
                        <w:rPr>
                          <w:b/>
                        </w:rPr>
                        <w:t xml:space="preserve">MicroBusiness Loans </w:t>
                      </w:r>
                      <w:r w:rsidRPr="000C716C">
                        <w:t>– up to $3,000 to start a new business or boost an existing one,</w:t>
                      </w:r>
                      <w:r>
                        <w:t xml:space="preserve"> for start-up costs, insurance/registration costs or equipment purchases. </w:t>
                      </w:r>
                    </w:p>
                    <w:p w14:paraId="186BFF8F" w14:textId="77777777" w:rsidR="006B54C7" w:rsidRDefault="006B54C7" w:rsidP="006B54C7">
                      <w:pPr>
                        <w:spacing w:before="240"/>
                      </w:pPr>
                      <w:r>
                        <w:rPr>
                          <w:szCs w:val="24"/>
                        </w:rPr>
                        <w:t xml:space="preserve">For more details, see </w:t>
                      </w:r>
                      <w:hyperlink r:id="rId23" w:history="1">
                        <w:r>
                          <w:rPr>
                            <w:rStyle w:val="Hyperlink"/>
                          </w:rPr>
                          <w:t>NILS Tasmania</w:t>
                        </w:r>
                      </w:hyperlink>
                      <w:r>
                        <w:t>.</w:t>
                      </w:r>
                    </w:p>
                  </w:txbxContent>
                </v:textbox>
                <w10:anchorlock/>
              </v:shape>
            </w:pict>
          </mc:Fallback>
        </mc:AlternateContent>
      </w:r>
    </w:p>
    <w:p w14:paraId="3A1011CA" w14:textId="77777777" w:rsidR="001702AE" w:rsidRDefault="001702AE" w:rsidP="006B54C7"/>
    <w:p w14:paraId="158743D5" w14:textId="77777777" w:rsidR="001702AE" w:rsidRPr="005D72F8" w:rsidRDefault="001702AE" w:rsidP="006B54C7">
      <w:pPr>
        <w:spacing w:after="240"/>
      </w:pPr>
    </w:p>
    <w:p w14:paraId="01421255" w14:textId="77777777" w:rsidR="001702AE" w:rsidRPr="00D91BCE" w:rsidRDefault="001702AE" w:rsidP="006B54C7">
      <w:pPr>
        <w:spacing w:after="240"/>
      </w:pPr>
    </w:p>
    <w:p w14:paraId="5EC5F316" w14:textId="77777777" w:rsidR="001702AE" w:rsidRDefault="001702AE" w:rsidP="006B54C7">
      <w:pPr>
        <w:spacing w:after="240"/>
        <w:rPr>
          <w:rFonts w:asciiTheme="majorHAnsi" w:eastAsiaTheme="majorEastAsia" w:hAnsiTheme="majorHAnsi" w:cstheme="majorBidi"/>
          <w:b/>
          <w:color w:val="2F5496" w:themeColor="accent1" w:themeShade="BF"/>
          <w:szCs w:val="32"/>
        </w:rPr>
      </w:pPr>
    </w:p>
    <w:p w14:paraId="6B0B7346" w14:textId="77777777" w:rsidR="001702AE" w:rsidRDefault="001702AE">
      <w:pPr>
        <w:spacing w:before="0" w:after="0"/>
        <w:rPr>
          <w:rFonts w:ascii="Avenir Next Demi Bold" w:eastAsia="AvenirNextLTPro-Demi" w:hAnsi="Avenir Next Demi Bold" w:cs="AvenirNextLTPro-Demi"/>
          <w:b/>
          <w:bCs/>
          <w:color w:val="1598CB"/>
          <w:sz w:val="48"/>
          <w:szCs w:val="48"/>
        </w:rPr>
      </w:pPr>
      <w:bookmarkStart w:id="116" w:name="_Toc130396350"/>
      <w:r>
        <w:br w:type="page"/>
      </w:r>
    </w:p>
    <w:p w14:paraId="31523965" w14:textId="77777777" w:rsidR="001702AE" w:rsidRDefault="001702AE" w:rsidP="006B54C7">
      <w:pPr>
        <w:pStyle w:val="Heading1"/>
      </w:pPr>
      <w:bookmarkStart w:id="117" w:name="_Toc131232901"/>
      <w:r>
        <w:lastRenderedPageBreak/>
        <w:t>8. R</w:t>
      </w:r>
      <w:bookmarkEnd w:id="116"/>
      <w:r>
        <w:t>ecommendations</w:t>
      </w:r>
      <w:bookmarkEnd w:id="117"/>
    </w:p>
    <w:p w14:paraId="3A709FFF" w14:textId="77777777" w:rsidR="001702AE" w:rsidRDefault="001702AE" w:rsidP="006B54C7">
      <w:pPr>
        <w:spacing w:after="240"/>
      </w:pPr>
      <w:r>
        <w:t xml:space="preserve">Our research has found that Buy Now Pay Later (BNPL) can be harmful for people in financial stress, particularly those who are facing social or economic disadvantage. BNPL products promise convenient and immediate access to goods without paying for them in full at the time of purchase. But these products also expose people to the risk of </w:t>
      </w:r>
      <w:r w:rsidRPr="002946EF">
        <w:t>“Buy Now, Struggle Later”.</w:t>
      </w:r>
      <w:r>
        <w:t xml:space="preserve"> Using BNPL can leave disadvantaged people short of funds to pay for essentials, add further to their indebtedness and undermine their efforts to manage their already challenging circumstances. </w:t>
      </w:r>
    </w:p>
    <w:p w14:paraId="0DB6DE58" w14:textId="77777777" w:rsidR="001702AE" w:rsidRDefault="001702AE" w:rsidP="006B54C7">
      <w:pPr>
        <w:spacing w:after="240"/>
      </w:pPr>
      <w:r>
        <w:t xml:space="preserve">Our research has identified two problems: inadequate regulation of BNPLs and disadvantaged people who are struggling to make ends meet on inadequate income support payments. We also </w:t>
      </w:r>
      <w:r w:rsidRPr="00A56142">
        <w:t>acknowledg</w:t>
      </w:r>
      <w:r>
        <w:t>e</w:t>
      </w:r>
      <w:r w:rsidRPr="00A56142">
        <w:t xml:space="preserve"> the </w:t>
      </w:r>
      <w:r>
        <w:t>importance of ensuring</w:t>
      </w:r>
      <w:r w:rsidRPr="00A56142">
        <w:t xml:space="preserve"> access to safe, fair and affordable credit options</w:t>
      </w:r>
      <w:r>
        <w:t xml:space="preserve"> for everyone.</w:t>
      </w:r>
    </w:p>
    <w:p w14:paraId="3B7C8E3E" w14:textId="77777777" w:rsidR="001702AE" w:rsidRDefault="001702AE" w:rsidP="006B54C7">
      <w:pPr>
        <w:spacing w:after="240"/>
      </w:pPr>
      <w:r>
        <w:t xml:space="preserve">Responding effectively to the risks of harm for people in financial stress from using BNPL and other new </w:t>
      </w:r>
      <w:r w:rsidRPr="00A25CA0">
        <w:rPr>
          <w:b/>
          <w:color w:val="248EB9"/>
        </w:rPr>
        <w:t xml:space="preserve">fintech </w:t>
      </w:r>
      <w:r>
        <w:t>products requires effective responses from the Australian Government, as well as not-for-profit organisations.</w:t>
      </w:r>
    </w:p>
    <w:p w14:paraId="3469A3CF" w14:textId="77777777" w:rsidR="001702AE" w:rsidRPr="00A56142" w:rsidRDefault="001702AE" w:rsidP="006B54C7">
      <w:pPr>
        <w:spacing w:after="240"/>
      </w:pPr>
      <w:r>
        <w:t>In light of this,</w:t>
      </w:r>
      <w:r w:rsidRPr="00A56142">
        <w:t xml:space="preserve"> we recommend that:</w:t>
      </w:r>
    </w:p>
    <w:p w14:paraId="53BE1A62" w14:textId="77777777" w:rsidR="001702AE" w:rsidRPr="008B5D47" w:rsidRDefault="001702AE" w:rsidP="00B0567E">
      <w:pPr>
        <w:pStyle w:val="ListParagraph"/>
        <w:numPr>
          <w:ilvl w:val="0"/>
          <w:numId w:val="9"/>
        </w:numPr>
        <w:rPr>
          <w:b/>
          <w:color w:val="248EB9"/>
          <w:sz w:val="28"/>
        </w:rPr>
      </w:pPr>
      <w:r w:rsidRPr="00B07E4C">
        <w:t xml:space="preserve">The Australian Government increase </w:t>
      </w:r>
      <w:r>
        <w:t>I</w:t>
      </w:r>
      <w:r w:rsidRPr="00B07E4C">
        <w:t xml:space="preserve">ncome </w:t>
      </w:r>
      <w:r>
        <w:t>S</w:t>
      </w:r>
      <w:r w:rsidRPr="00B07E4C">
        <w:t xml:space="preserve">upport </w:t>
      </w:r>
      <w:r>
        <w:t>P</w:t>
      </w:r>
      <w:r w:rsidRPr="00B07E4C">
        <w:t>ayments</w:t>
      </w:r>
      <w:r>
        <w:t xml:space="preserve"> to above the poverty line</w:t>
      </w:r>
      <w:r w:rsidRPr="00B07E4C">
        <w:t xml:space="preserve"> as a matter of urgency</w:t>
      </w:r>
      <w:r>
        <w:t>, in order to reduce recipients’ risk of experiencing financial stress and exposure to unmanageable debt accrued from Buy Now Pay Later and high</w:t>
      </w:r>
      <w:r>
        <w:noBreakHyphen/>
        <w:t>cost credit products.</w:t>
      </w:r>
    </w:p>
    <w:p w14:paraId="3F0707CE" w14:textId="00BAA792" w:rsidR="001702AE" w:rsidRPr="00AF140E" w:rsidRDefault="001702AE" w:rsidP="00B0567E">
      <w:pPr>
        <w:pStyle w:val="ListParagraph"/>
        <w:numPr>
          <w:ilvl w:val="0"/>
          <w:numId w:val="9"/>
        </w:numPr>
        <w:rPr>
          <w:b/>
          <w:color w:val="248EB9"/>
          <w:sz w:val="28"/>
        </w:rPr>
      </w:pPr>
      <w:proofErr w:type="gramStart"/>
      <w:r w:rsidRPr="00B07E4C">
        <w:t>Treasury</w:t>
      </w:r>
      <w:proofErr w:type="gramEnd"/>
      <w:r w:rsidRPr="00B07E4C">
        <w:t xml:space="preserve"> regulate </w:t>
      </w:r>
      <w:r>
        <w:t>BNPL</w:t>
      </w:r>
      <w:r w:rsidRPr="00B07E4C">
        <w:t xml:space="preserve"> in accordance with Option 3 in the</w:t>
      </w:r>
      <w:r>
        <w:t>ir</w:t>
      </w:r>
      <w:r w:rsidRPr="00B07E4C">
        <w:t xml:space="preserve"> Options Paper</w:t>
      </w:r>
      <w:r w:rsidR="00AF140E">
        <w:t xml:space="preserve"> – </w:t>
      </w:r>
      <w:r w:rsidRPr="00B07E4C">
        <w:t>bring</w:t>
      </w:r>
      <w:r>
        <w:t>ing</w:t>
      </w:r>
      <w:r w:rsidRPr="00B07E4C">
        <w:t xml:space="preserve"> BNPL</w:t>
      </w:r>
      <w:r>
        <w:t xml:space="preserve"> under the </w:t>
      </w:r>
      <w:r w:rsidRPr="00AF140E">
        <w:rPr>
          <w:i/>
        </w:rPr>
        <w:t>National Consumer Credit Protection Act 2009</w:t>
      </w:r>
      <w:r w:rsidRPr="00B07E4C">
        <w:t>.</w:t>
      </w:r>
      <w:r>
        <w:rPr>
          <w:rStyle w:val="FootnoteReference"/>
        </w:rPr>
        <w:footnoteReference w:id="27"/>
      </w:r>
    </w:p>
    <w:p w14:paraId="0BC33A63" w14:textId="77777777" w:rsidR="001702AE" w:rsidRPr="007857E9" w:rsidRDefault="001702AE" w:rsidP="00B0567E">
      <w:pPr>
        <w:pStyle w:val="ListParagraph"/>
        <w:numPr>
          <w:ilvl w:val="0"/>
          <w:numId w:val="9"/>
        </w:numPr>
        <w:rPr>
          <w:b/>
          <w:color w:val="248EB9"/>
          <w:sz w:val="28"/>
        </w:rPr>
      </w:pPr>
      <w:r>
        <w:t>For people facing financial stress or disadvantage, improve access to services such as the No Interest Loan Scheme which have promotion of the interests and wellbeing of the ‘borrower’ as their primary aim. This includes:</w:t>
      </w:r>
    </w:p>
    <w:p w14:paraId="5BA3A58E" w14:textId="77777777" w:rsidR="001702AE" w:rsidRPr="007857E9" w:rsidRDefault="001702AE" w:rsidP="005D72F8">
      <w:pPr>
        <w:pStyle w:val="Bullets"/>
        <w:rPr>
          <w:b/>
          <w:color w:val="248EB9"/>
          <w:sz w:val="28"/>
        </w:rPr>
      </w:pPr>
      <w:r>
        <w:t>exploring options to integrate features of fintech into such credit products</w:t>
      </w:r>
    </w:p>
    <w:p w14:paraId="30131E44" w14:textId="77777777" w:rsidR="001702AE" w:rsidRPr="007857E9" w:rsidRDefault="001702AE" w:rsidP="005D72F8">
      <w:pPr>
        <w:pStyle w:val="Bullets"/>
        <w:rPr>
          <w:b/>
          <w:color w:val="248EB9"/>
          <w:sz w:val="28"/>
        </w:rPr>
      </w:pPr>
      <w:r>
        <w:t>expanding the funds available for the No Interest Loan Scheme (NILS)</w:t>
      </w:r>
    </w:p>
    <w:p w14:paraId="687CDCD5" w14:textId="77777777" w:rsidR="001702AE" w:rsidRPr="007857E9" w:rsidRDefault="001702AE" w:rsidP="005D72F8">
      <w:pPr>
        <w:pStyle w:val="Bullets"/>
        <w:rPr>
          <w:b/>
          <w:color w:val="248EB9"/>
          <w:sz w:val="28"/>
        </w:rPr>
      </w:pPr>
      <w:r>
        <w:t>regulatory and funding support from public sector to support expanded access</w:t>
      </w:r>
    </w:p>
    <w:p w14:paraId="1930D82F" w14:textId="77777777" w:rsidR="001702AE" w:rsidRPr="007857E9" w:rsidRDefault="001702AE" w:rsidP="005D72F8">
      <w:pPr>
        <w:pStyle w:val="Bullets"/>
        <w:rPr>
          <w:b/>
          <w:color w:val="248EB9"/>
          <w:sz w:val="28"/>
        </w:rPr>
      </w:pPr>
      <w:r>
        <w:t>appropriate partnerships with commercial credit providers.</w:t>
      </w:r>
    </w:p>
    <w:p w14:paraId="01E23FC5" w14:textId="46CB5475" w:rsidR="001702AE" w:rsidRPr="00EC6A93" w:rsidRDefault="001702AE" w:rsidP="006B54C7">
      <w:pPr>
        <w:ind w:left="720" w:hanging="360"/>
        <w:rPr>
          <w:b/>
          <w:color w:val="248EB9"/>
        </w:rPr>
      </w:pPr>
      <w:r w:rsidRPr="00EC6A93">
        <w:rPr>
          <w:b/>
          <w:color w:val="248EB9"/>
          <w:sz w:val="26"/>
        </w:rPr>
        <w:t>4.</w:t>
      </w:r>
      <w:r w:rsidRPr="00EC6A93">
        <w:rPr>
          <w:color w:val="248EB9"/>
          <w:sz w:val="26"/>
        </w:rPr>
        <w:t xml:space="preserve"> </w:t>
      </w:r>
      <w:r w:rsidR="00AF140E">
        <w:rPr>
          <w:color w:val="248EB9"/>
          <w:sz w:val="26"/>
        </w:rPr>
        <w:tab/>
      </w:r>
      <w:r>
        <w:t>Treasury act to reduce financial abuse by perpetrators of family violence by:</w:t>
      </w:r>
    </w:p>
    <w:p w14:paraId="5FB520FC" w14:textId="77777777" w:rsidR="001702AE" w:rsidRPr="00EC6A93" w:rsidRDefault="001702AE" w:rsidP="005D72F8">
      <w:pPr>
        <w:pStyle w:val="Bullets"/>
        <w:rPr>
          <w:b/>
          <w:color w:val="248EB9"/>
        </w:rPr>
      </w:pPr>
      <w:r>
        <w:t>exploring options to better protect people from abuse using</w:t>
      </w:r>
      <w:r w:rsidRPr="006C65F7">
        <w:t xml:space="preserve"> fintech </w:t>
      </w:r>
      <w:r>
        <w:t>products, including Buy Now Pay Later</w:t>
      </w:r>
    </w:p>
    <w:p w14:paraId="42BF5B23" w14:textId="77777777" w:rsidR="001702AE" w:rsidRPr="00EC6A93" w:rsidRDefault="001702AE" w:rsidP="005D72F8">
      <w:pPr>
        <w:pStyle w:val="Bullets"/>
        <w:rPr>
          <w:b/>
          <w:color w:val="248EB9"/>
        </w:rPr>
      </w:pPr>
      <w:r>
        <w:t>making ‘</w:t>
      </w:r>
      <w:r w:rsidRPr="00D7180D">
        <w:t>reduc</w:t>
      </w:r>
      <w:r>
        <w:t>ed</w:t>
      </w:r>
      <w:r w:rsidRPr="00D7180D">
        <w:t xml:space="preserve"> financial abuse</w:t>
      </w:r>
      <w:r>
        <w:t xml:space="preserve">’ an outcome of the National Financial Capability Strategy </w:t>
      </w:r>
    </w:p>
    <w:p w14:paraId="4218144C" w14:textId="77777777" w:rsidR="001702AE" w:rsidRPr="00EC6A93" w:rsidRDefault="001702AE" w:rsidP="005D72F8">
      <w:pPr>
        <w:pStyle w:val="Bullets"/>
        <w:rPr>
          <w:b/>
          <w:color w:val="248EB9"/>
          <w:sz w:val="28"/>
        </w:rPr>
      </w:pPr>
      <w:r>
        <w:t>developing and implementing initiatives under the Strategy to help young people to understand and avoid perpetrating or experiencing financial abuse.</w:t>
      </w:r>
    </w:p>
    <w:p w14:paraId="30CF857F" w14:textId="77777777" w:rsidR="001702AE" w:rsidRDefault="001702AE" w:rsidP="006B54C7">
      <w:pPr>
        <w:pStyle w:val="Heading1"/>
      </w:pPr>
      <w:r w:rsidRPr="004D4D53">
        <w:rPr>
          <w:sz w:val="52"/>
        </w:rPr>
        <w:br w:type="page"/>
      </w:r>
      <w:bookmarkStart w:id="118" w:name="_Toc130396351"/>
      <w:bookmarkStart w:id="119" w:name="_Toc131232902"/>
      <w:r w:rsidRPr="00960B97">
        <w:lastRenderedPageBreak/>
        <w:t xml:space="preserve">Appendix </w:t>
      </w:r>
      <w:r>
        <w:t>A</w:t>
      </w:r>
      <w:r w:rsidRPr="00960B97">
        <w:t xml:space="preserve">: </w:t>
      </w:r>
      <w:r>
        <w:t>Research Methodology</w:t>
      </w:r>
      <w:bookmarkEnd w:id="118"/>
      <w:bookmarkEnd w:id="119"/>
    </w:p>
    <w:p w14:paraId="24412378" w14:textId="77777777" w:rsidR="001702AE" w:rsidRPr="008B5D47" w:rsidRDefault="001702AE" w:rsidP="006B54C7">
      <w:pPr>
        <w:rPr>
          <w:b/>
          <w:color w:val="248EB9"/>
        </w:rPr>
      </w:pPr>
      <w:r w:rsidRPr="008B5D47">
        <w:rPr>
          <w:b/>
          <w:color w:val="248EB9"/>
        </w:rPr>
        <w:t>A1</w:t>
      </w:r>
      <w:r>
        <w:rPr>
          <w:b/>
          <w:color w:val="248EB9"/>
        </w:rPr>
        <w:t>.</w:t>
      </w:r>
      <w:r w:rsidRPr="008B5D47">
        <w:rPr>
          <w:b/>
          <w:color w:val="248EB9"/>
        </w:rPr>
        <w:t xml:space="preserve"> Research goal and aims</w:t>
      </w:r>
    </w:p>
    <w:p w14:paraId="71FA6D43" w14:textId="77777777" w:rsidR="001702AE" w:rsidRPr="009259C0" w:rsidRDefault="001702AE" w:rsidP="006B54C7">
      <w:pPr>
        <w:spacing w:after="240"/>
        <w:rPr>
          <w:szCs w:val="24"/>
        </w:rPr>
      </w:pPr>
      <w:r w:rsidRPr="009259C0">
        <w:rPr>
          <w:szCs w:val="24"/>
        </w:rPr>
        <w:t>The project’s goal is to research the impacts of Buy Now Pay Later (BNPL) products on consumers, which aims to:</w:t>
      </w:r>
    </w:p>
    <w:p w14:paraId="2F3E85CC" w14:textId="77777777" w:rsidR="001702AE" w:rsidRPr="005166D8" w:rsidRDefault="001702AE" w:rsidP="00B0567E">
      <w:pPr>
        <w:pStyle w:val="ListParagraph"/>
        <w:numPr>
          <w:ilvl w:val="0"/>
          <w:numId w:val="13"/>
        </w:numPr>
      </w:pPr>
      <w:r w:rsidRPr="005166D8">
        <w:t>Generate service-level Tasmanian evidence about the impacts of BNPL products on Anglicare’s Financial Counselling clients.</w:t>
      </w:r>
    </w:p>
    <w:p w14:paraId="0C9FB0AA" w14:textId="77777777" w:rsidR="001702AE" w:rsidRPr="005166D8" w:rsidRDefault="001702AE" w:rsidP="00B0567E">
      <w:pPr>
        <w:pStyle w:val="ListParagraph"/>
        <w:numPr>
          <w:ilvl w:val="0"/>
          <w:numId w:val="13"/>
        </w:numPr>
      </w:pPr>
      <w:r w:rsidRPr="005166D8">
        <w:t>Develop a robust evidence base to enable advocacy, either independently or with other organisations, about (a) regulation of BNPL products</w:t>
      </w:r>
      <w:r>
        <w:t>,</w:t>
      </w:r>
      <w:r w:rsidRPr="005166D8">
        <w:t xml:space="preserve"> and possibly also (b) Raising the Rate.</w:t>
      </w:r>
    </w:p>
    <w:p w14:paraId="65491D28" w14:textId="77777777" w:rsidR="001702AE" w:rsidRPr="00A353EA" w:rsidRDefault="001702AE" w:rsidP="00B0567E">
      <w:pPr>
        <w:pStyle w:val="ListParagraph"/>
        <w:numPr>
          <w:ilvl w:val="0"/>
          <w:numId w:val="13"/>
        </w:numPr>
      </w:pPr>
      <w:r w:rsidRPr="005166D8">
        <w:t>Develop a robust evidence base t</w:t>
      </w:r>
      <w:r w:rsidRPr="007B2235">
        <w:t>o inform practice and/or data collection within Anglicare’s financial counselling programs (and any future tenders of grant appl</w:t>
      </w:r>
      <w:r w:rsidRPr="00A353EA">
        <w:t>ications, if applicable</w:t>
      </w:r>
      <w:r>
        <w:t>)</w:t>
      </w:r>
      <w:r w:rsidRPr="00A353EA">
        <w:t>.</w:t>
      </w:r>
    </w:p>
    <w:p w14:paraId="40F07899" w14:textId="77777777" w:rsidR="001702AE" w:rsidRPr="009259C0" w:rsidRDefault="001702AE" w:rsidP="00B0567E">
      <w:pPr>
        <w:pStyle w:val="ListParagraph"/>
        <w:numPr>
          <w:ilvl w:val="0"/>
          <w:numId w:val="13"/>
        </w:numPr>
      </w:pPr>
      <w:r w:rsidRPr="009259C0">
        <w:t>Develop a robust evidence base that is available for potential use in communications targeting people vulnerable to harm from these products with the aim of preventing harm.</w:t>
      </w:r>
    </w:p>
    <w:p w14:paraId="644F6317" w14:textId="77777777" w:rsidR="001702AE" w:rsidRDefault="001702AE" w:rsidP="005D72F8">
      <w:pPr>
        <w:spacing w:before="240" w:after="240"/>
      </w:pPr>
      <w:r>
        <w:t>This report addresses research aims 1 and 2.</w:t>
      </w:r>
    </w:p>
    <w:p w14:paraId="54995D91" w14:textId="77777777" w:rsidR="001702AE" w:rsidRPr="008B5D47" w:rsidRDefault="001702AE" w:rsidP="006B54C7">
      <w:pPr>
        <w:rPr>
          <w:b/>
          <w:color w:val="248EB9"/>
        </w:rPr>
      </w:pPr>
      <w:r w:rsidRPr="008B5D47">
        <w:rPr>
          <w:b/>
          <w:color w:val="248EB9"/>
        </w:rPr>
        <w:t>A2</w:t>
      </w:r>
      <w:r>
        <w:rPr>
          <w:b/>
          <w:color w:val="248EB9"/>
        </w:rPr>
        <w:t>.</w:t>
      </w:r>
      <w:r w:rsidRPr="008B5D47">
        <w:rPr>
          <w:b/>
          <w:color w:val="248EB9"/>
        </w:rPr>
        <w:t xml:space="preserve"> Research questions</w:t>
      </w:r>
    </w:p>
    <w:p w14:paraId="1AA77951" w14:textId="77777777" w:rsidR="001702AE" w:rsidRPr="001E2DF9" w:rsidRDefault="001702AE" w:rsidP="006B54C7">
      <w:pPr>
        <w:spacing w:after="240"/>
      </w:pPr>
      <w:r>
        <w:t>The research questions are open, exploratory questions, as follows:</w:t>
      </w:r>
    </w:p>
    <w:p w14:paraId="25E5D2A6" w14:textId="77777777" w:rsidR="001702AE" w:rsidRDefault="001702AE" w:rsidP="00B0567E">
      <w:pPr>
        <w:pStyle w:val="ListParagraph"/>
        <w:numPr>
          <w:ilvl w:val="0"/>
          <w:numId w:val="14"/>
        </w:numPr>
      </w:pPr>
      <w:r>
        <w:t>How are Anglicare’s financial counselling clients using BNPL products?</w:t>
      </w:r>
    </w:p>
    <w:p w14:paraId="7CCEE2F2" w14:textId="77777777" w:rsidR="001702AE" w:rsidRDefault="001702AE" w:rsidP="00B0567E">
      <w:pPr>
        <w:pStyle w:val="ListParagraph"/>
        <w:numPr>
          <w:ilvl w:val="0"/>
          <w:numId w:val="14"/>
        </w:numPr>
      </w:pPr>
      <w:r>
        <w:t>What are the impacts of BNPL on Anglicare’s financial counselling clients?</w:t>
      </w:r>
    </w:p>
    <w:p w14:paraId="27E56A68" w14:textId="77777777" w:rsidR="001702AE" w:rsidRDefault="001702AE" w:rsidP="00B0567E">
      <w:pPr>
        <w:pStyle w:val="ListParagraph"/>
        <w:numPr>
          <w:ilvl w:val="0"/>
          <w:numId w:val="14"/>
        </w:numPr>
      </w:pPr>
      <w:r>
        <w:t>If BNPL use is resulting in harm, what policy changes could reduce that harm and which of those options would deliver the greatest net benefit?</w:t>
      </w:r>
    </w:p>
    <w:p w14:paraId="272FE170" w14:textId="77777777" w:rsidR="001702AE" w:rsidRDefault="001702AE" w:rsidP="00B0567E">
      <w:pPr>
        <w:pStyle w:val="ListParagraph"/>
        <w:numPr>
          <w:ilvl w:val="0"/>
          <w:numId w:val="14"/>
        </w:numPr>
      </w:pPr>
      <w:r>
        <w:t>What are the policy implications for BNPL regulation and, possibly, income adequacy (</w:t>
      </w:r>
      <w:proofErr w:type="gramStart"/>
      <w:r>
        <w:t>e.g.</w:t>
      </w:r>
      <w:proofErr w:type="gramEnd"/>
      <w:r>
        <w:t xml:space="preserve"> wages, income support)?</w:t>
      </w:r>
    </w:p>
    <w:p w14:paraId="72E84E5D" w14:textId="77777777" w:rsidR="001702AE" w:rsidRDefault="001702AE" w:rsidP="00B0567E">
      <w:pPr>
        <w:pStyle w:val="ListParagraph"/>
        <w:numPr>
          <w:ilvl w:val="0"/>
          <w:numId w:val="14"/>
        </w:numPr>
      </w:pPr>
      <w:r>
        <w:t>What are the practice implications for Anglicare’s financial counselling programs, if any?</w:t>
      </w:r>
    </w:p>
    <w:p w14:paraId="55134D54" w14:textId="77777777" w:rsidR="001702AE" w:rsidRDefault="001702AE" w:rsidP="005D72F8">
      <w:pPr>
        <w:spacing w:before="240" w:after="240"/>
      </w:pPr>
      <w:r>
        <w:t>This report addresses research questions 1 – 4.</w:t>
      </w:r>
    </w:p>
    <w:p w14:paraId="608A7FFB" w14:textId="77777777" w:rsidR="001702AE" w:rsidRPr="008B5D47" w:rsidRDefault="001702AE" w:rsidP="006B54C7">
      <w:pPr>
        <w:rPr>
          <w:b/>
          <w:color w:val="248EB9"/>
        </w:rPr>
      </w:pPr>
      <w:r w:rsidRPr="008B5D47">
        <w:rPr>
          <w:b/>
          <w:color w:val="248EB9"/>
        </w:rPr>
        <w:t>A3. Research methods</w:t>
      </w:r>
    </w:p>
    <w:p w14:paraId="3C5CB2AD" w14:textId="7A3E8D79" w:rsidR="001702AE" w:rsidRDefault="001702AE" w:rsidP="006B54C7">
      <w:pPr>
        <w:spacing w:after="240"/>
      </w:pPr>
      <w:r>
        <w:t>A mixed-methods research design was developed in consultation with Mary Bennett, Mat</w:t>
      </w:r>
      <w:r w:rsidR="005D72F8">
        <w:t>hew</w:t>
      </w:r>
      <w:r>
        <w:t xml:space="preserve"> O’Brien and Lynne Watson of Anglicare Tasmania, as well as John Hooper of NILS Tasmania. The research was conducted from December 2022 to February 2023. It employed qualitative and quantitative methods: </w:t>
      </w:r>
    </w:p>
    <w:p w14:paraId="4B3F5F4E" w14:textId="77777777" w:rsidR="001702AE" w:rsidRDefault="001702AE" w:rsidP="00B0567E">
      <w:pPr>
        <w:pStyle w:val="ListParagraph"/>
        <w:numPr>
          <w:ilvl w:val="0"/>
          <w:numId w:val="15"/>
        </w:numPr>
      </w:pPr>
      <w:r>
        <w:t>A brief literature review to inform the survey design, data analysis and discussion of findings.</w:t>
      </w:r>
    </w:p>
    <w:p w14:paraId="5937FF9D" w14:textId="77777777" w:rsidR="001702AE" w:rsidRDefault="001702AE" w:rsidP="00B0567E">
      <w:pPr>
        <w:pStyle w:val="ListParagraph"/>
        <w:numPr>
          <w:ilvl w:val="0"/>
          <w:numId w:val="15"/>
        </w:numPr>
      </w:pPr>
      <w:r>
        <w:t>Meta-analysis of financial counselling data collection. (This analysis and findings are reported elsewhere.)</w:t>
      </w:r>
    </w:p>
    <w:p w14:paraId="77227C57" w14:textId="77777777" w:rsidR="005D72F8" w:rsidRDefault="005D72F8">
      <w:pPr>
        <w:widowControl/>
        <w:autoSpaceDE/>
        <w:autoSpaceDN/>
        <w:spacing w:before="0" w:after="160" w:line="259" w:lineRule="auto"/>
      </w:pPr>
      <w:r>
        <w:br w:type="page"/>
      </w:r>
    </w:p>
    <w:p w14:paraId="5456006D" w14:textId="4FC296DD" w:rsidR="001702AE" w:rsidRDefault="001702AE" w:rsidP="00B0567E">
      <w:pPr>
        <w:pStyle w:val="ListParagraph"/>
        <w:numPr>
          <w:ilvl w:val="0"/>
          <w:numId w:val="15"/>
        </w:numPr>
      </w:pPr>
      <w:r>
        <w:lastRenderedPageBreak/>
        <w:t>Extraction, coding and analysis of qualitative and quantitative data from Anglicare’s Client Management System, for two samples of Financial Counselling clients:</w:t>
      </w:r>
    </w:p>
    <w:p w14:paraId="025B4000" w14:textId="77777777" w:rsidR="001702AE" w:rsidRDefault="001702AE" w:rsidP="00B0567E">
      <w:pPr>
        <w:pStyle w:val="ListParagraph"/>
        <w:numPr>
          <w:ilvl w:val="1"/>
          <w:numId w:val="15"/>
        </w:numPr>
      </w:pPr>
      <w:r>
        <w:t>Clients with BNPL debts (n = 100)</w:t>
      </w:r>
    </w:p>
    <w:p w14:paraId="01B2F0C8" w14:textId="77777777" w:rsidR="001702AE" w:rsidRDefault="001702AE" w:rsidP="00B0567E">
      <w:pPr>
        <w:pStyle w:val="ListParagraph"/>
        <w:numPr>
          <w:ilvl w:val="1"/>
          <w:numId w:val="15"/>
        </w:numPr>
      </w:pPr>
      <w:r>
        <w:t>Clients with no BNPL debts (n = 234).</w:t>
      </w:r>
    </w:p>
    <w:p w14:paraId="48CBE5A6" w14:textId="77777777" w:rsidR="001702AE" w:rsidRDefault="001702AE" w:rsidP="00B0567E">
      <w:pPr>
        <w:pStyle w:val="ListParagraph"/>
        <w:numPr>
          <w:ilvl w:val="0"/>
          <w:numId w:val="15"/>
        </w:numPr>
      </w:pPr>
      <w:r>
        <w:t>A survey of Anglicare Tasmania’s Financial Counsellors, which contained a mix of multiple choice and open questions.</w:t>
      </w:r>
    </w:p>
    <w:p w14:paraId="5135FC99" w14:textId="77777777" w:rsidR="001702AE" w:rsidRDefault="001702AE" w:rsidP="00B0567E">
      <w:pPr>
        <w:pStyle w:val="ListParagraph"/>
        <w:numPr>
          <w:ilvl w:val="0"/>
          <w:numId w:val="15"/>
        </w:numPr>
      </w:pPr>
      <w:r>
        <w:t>Illustrative case studies of clients’ experiences with BNPL, informed by discussions with Financial Counsellors and Case File Notes.</w:t>
      </w:r>
    </w:p>
    <w:p w14:paraId="1F284FFA" w14:textId="77777777" w:rsidR="001702AE" w:rsidRPr="008B5D47" w:rsidRDefault="001702AE" w:rsidP="006B54C7">
      <w:pPr>
        <w:spacing w:before="240"/>
        <w:rPr>
          <w:b/>
          <w:color w:val="248EB9"/>
        </w:rPr>
      </w:pPr>
      <w:r w:rsidRPr="008B5D47">
        <w:rPr>
          <w:b/>
          <w:color w:val="248EB9"/>
        </w:rPr>
        <w:t>A4. Description of research activities</w:t>
      </w:r>
    </w:p>
    <w:p w14:paraId="6890EDDA" w14:textId="77777777" w:rsidR="001702AE" w:rsidRPr="00B47E37" w:rsidRDefault="001702AE" w:rsidP="006B54C7">
      <w:pPr>
        <w:rPr>
          <w:rStyle w:val="Strong"/>
        </w:rPr>
      </w:pPr>
      <w:r w:rsidRPr="00B47E37">
        <w:rPr>
          <w:rStyle w:val="Strong"/>
        </w:rPr>
        <w:t>Survey of Anglicare’s Financial Counsellors</w:t>
      </w:r>
    </w:p>
    <w:p w14:paraId="1B01C1B4" w14:textId="77777777" w:rsidR="001702AE" w:rsidRDefault="001702AE" w:rsidP="006B54C7">
      <w:pPr>
        <w:spacing w:after="240"/>
      </w:pPr>
      <w:r>
        <w:t>A survey was developed in Microsoft Forms for Anglicare Tasmania’s Financial Counsellors, seeking their views and experiences of providing financial counselling services to clients with BNPL debts. The survey consisted of 27 questions which were a mix of multi-choice questions and open comment boxes. (Refer to Appendix B for the survey.)</w:t>
      </w:r>
    </w:p>
    <w:p w14:paraId="2D70D362" w14:textId="77777777" w:rsidR="001702AE" w:rsidRDefault="001702AE" w:rsidP="006B54C7">
      <w:pPr>
        <w:spacing w:after="240"/>
      </w:pPr>
      <w:r>
        <w:t>The survey was distributed by email to all 15 of Anglicare Tasmania’s Financial Counsellors, with a Project Information Sheet attached. The survey was open for responses from 23 December 2022 to 27 January 2023. By the closing date, 10 responses had been received from Financial Counsellors.</w:t>
      </w:r>
    </w:p>
    <w:p w14:paraId="5C6A2AE5" w14:textId="77777777" w:rsidR="001702AE" w:rsidRDefault="001702AE" w:rsidP="006B54C7">
      <w:pPr>
        <w:spacing w:after="240"/>
      </w:pPr>
      <w:r>
        <w:t>The numerical and text data from the surveys was automatically analysed and presented by Microsoft Forms in an Excel spreadsheet. We did not conduct any f</w:t>
      </w:r>
      <w:r w:rsidRPr="00F3007F">
        <w:t>urther analysis of the quantitative data.</w:t>
      </w:r>
      <w:r>
        <w:t xml:space="preserve"> We did basic analysis of the</w:t>
      </w:r>
      <w:r w:rsidRPr="00F3007F">
        <w:t xml:space="preserve"> qualitative da</w:t>
      </w:r>
      <w:r>
        <w:t>ta, to better align some of the text responses to pre-identified themes. Minor edits were made to qualitative data to improve clarity.</w:t>
      </w:r>
    </w:p>
    <w:p w14:paraId="6FFC7A4A" w14:textId="77777777" w:rsidR="001702AE" w:rsidRPr="00B47E37" w:rsidRDefault="001702AE" w:rsidP="006B54C7">
      <w:pPr>
        <w:rPr>
          <w:rStyle w:val="Strong"/>
        </w:rPr>
      </w:pPr>
      <w:r w:rsidRPr="00B47E37">
        <w:rPr>
          <w:rStyle w:val="Strong"/>
        </w:rPr>
        <w:t>Data from Anglicare’s Case Management System</w:t>
      </w:r>
    </w:p>
    <w:p w14:paraId="43EC66B0" w14:textId="77777777" w:rsidR="001702AE" w:rsidRDefault="001702AE" w:rsidP="006B54C7">
      <w:pPr>
        <w:spacing w:after="240"/>
      </w:pPr>
      <w:r>
        <w:t>Anglicare Tasmania’s Financial Counsellors record information about clients, their service contacts and relevant documents in Anglicare Tasmania’s Client Management System, which is called CASEY. We were granted access to this data for the purposes of research. Clients had previously consented to their data being available for research.</w:t>
      </w:r>
    </w:p>
    <w:p w14:paraId="5F2C46E0" w14:textId="77777777" w:rsidR="001702AE" w:rsidRPr="00C97948" w:rsidRDefault="001702AE" w:rsidP="006B54C7">
      <w:pPr>
        <w:spacing w:after="240"/>
      </w:pPr>
      <w:r>
        <w:t>For each client, Financial Counsellors collect demographic information and contact details in a Client Profile. Additionally, each client has one or more Service Files. Where there is more than one Service File for a client, this reflects multiple sets of engagement with the Financial Counselling service over time. A client’s Service File contains Case File Notes made by the Financial Counsellor, as well as Documents uploaded by Financial Counsellors. This includes Excel files for Budgets or Statements of Financial Position, medical certificates or correspondence, emails between Financial Counsellors and clients or credit providers, and lists of debts recorded in Creditors Sheets.</w:t>
      </w:r>
    </w:p>
    <w:p w14:paraId="40A7F084" w14:textId="77777777" w:rsidR="001702AE" w:rsidRDefault="001702AE" w:rsidP="006B54C7">
      <w:pPr>
        <w:pStyle w:val="Heading3"/>
        <w:rPr>
          <w:rStyle w:val="Strong"/>
        </w:rPr>
      </w:pPr>
    </w:p>
    <w:p w14:paraId="05C2DC70" w14:textId="77777777" w:rsidR="001702AE" w:rsidRDefault="001702AE">
      <w:pPr>
        <w:spacing w:before="0" w:after="0"/>
        <w:rPr>
          <w:rStyle w:val="Strong"/>
        </w:rPr>
      </w:pPr>
      <w:r>
        <w:rPr>
          <w:rStyle w:val="Strong"/>
        </w:rPr>
        <w:br w:type="page"/>
      </w:r>
    </w:p>
    <w:p w14:paraId="1F8F580E" w14:textId="77777777" w:rsidR="001702AE" w:rsidRPr="00B47E37" w:rsidRDefault="001702AE" w:rsidP="006B54C7">
      <w:pPr>
        <w:rPr>
          <w:rStyle w:val="Strong"/>
        </w:rPr>
      </w:pPr>
      <w:r w:rsidRPr="00B47E37">
        <w:rPr>
          <w:rStyle w:val="Strong"/>
        </w:rPr>
        <w:lastRenderedPageBreak/>
        <w:t>Identification of the primary sample and the comparison sample</w:t>
      </w:r>
    </w:p>
    <w:p w14:paraId="5931E0BC" w14:textId="77777777" w:rsidR="001702AE" w:rsidRDefault="001702AE" w:rsidP="006B54C7">
      <w:pPr>
        <w:spacing w:after="360"/>
      </w:pPr>
      <w:r>
        <w:t>Three steps were undertaken to identify clients with Buy Now Pay Later debts (the primary sample) and clients with no BNPL debts (the comparison sample). Refer to the diagram below.</w:t>
      </w:r>
    </w:p>
    <w:p w14:paraId="6987695B" w14:textId="77777777" w:rsidR="001702AE" w:rsidRDefault="001702AE" w:rsidP="006B54C7">
      <w:r w:rsidRPr="004F2985">
        <w:rPr>
          <w:noProof/>
        </w:rPr>
        <w:drawing>
          <wp:inline distT="0" distB="0" distL="0" distR="0" wp14:anchorId="700DE35A" wp14:editId="5FD7E9EE">
            <wp:extent cx="5731510" cy="7107555"/>
            <wp:effectExtent l="19050" t="19050" r="21590" b="171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7107555"/>
                    </a:xfrm>
                    <a:prstGeom prst="rect">
                      <a:avLst/>
                    </a:prstGeom>
                    <a:ln w="12700">
                      <a:solidFill>
                        <a:schemeClr val="accent1"/>
                      </a:solidFill>
                    </a:ln>
                  </pic:spPr>
                </pic:pic>
              </a:graphicData>
            </a:graphic>
          </wp:inline>
        </w:drawing>
      </w:r>
      <w:r>
        <w:br w:type="page"/>
      </w:r>
    </w:p>
    <w:p w14:paraId="0AE1B8D4" w14:textId="77777777" w:rsidR="001702AE" w:rsidRPr="007568C8" w:rsidRDefault="001702AE" w:rsidP="00B0567E">
      <w:pPr>
        <w:pStyle w:val="ListParagraph"/>
        <w:numPr>
          <w:ilvl w:val="0"/>
          <w:numId w:val="10"/>
        </w:numPr>
      </w:pPr>
      <w:r w:rsidRPr="007568C8">
        <w:lastRenderedPageBreak/>
        <w:t>Using CASEY, we generated a report of all financial counselling clients with Case File Notes in CASEY during 1 January – 31 December 2022. This time period was selected because it captures the most recent and complete 12-month dataset available. The resulting Case File List report was saved as an Excel spreadsheet, including each client’s name</w:t>
      </w:r>
      <w:r>
        <w:t xml:space="preserve"> </w:t>
      </w:r>
      <w:r w:rsidRPr="007568C8">
        <w:t>and their Case File Notes, including the type of each appointment. This report generated a list of 370 clients.</w:t>
      </w:r>
    </w:p>
    <w:p w14:paraId="107C5EA8" w14:textId="77777777" w:rsidR="001702AE" w:rsidRPr="007568C8" w:rsidRDefault="001702AE" w:rsidP="00B0567E">
      <w:pPr>
        <w:pStyle w:val="ListParagraph"/>
        <w:numPr>
          <w:ilvl w:val="0"/>
          <w:numId w:val="10"/>
        </w:numPr>
      </w:pPr>
      <w:r w:rsidRPr="007568C8">
        <w:t>Using Excel, the report generated by Step A above was searched for clients who had attended an Intake Appointment during 1 January – 31 December 2022, which identified 334 clients. The remaining 36 clients did not attend an Intake Appointment during this period, and were excluded.</w:t>
      </w:r>
    </w:p>
    <w:p w14:paraId="0E480B02" w14:textId="7AE130C5" w:rsidR="001702AE" w:rsidRPr="007568C8" w:rsidRDefault="001702AE" w:rsidP="00B0567E">
      <w:pPr>
        <w:pStyle w:val="ListParagraph"/>
        <w:numPr>
          <w:ilvl w:val="0"/>
          <w:numId w:val="10"/>
        </w:numPr>
      </w:pPr>
      <w:r w:rsidRPr="007568C8">
        <w:t>We conducted a manual review of each Case File (n =334) to determine if the client had one or more Buy Now Pay Later debts, either during their Intake Appointment or during preparation of their first Budget or Creditors Sheet. For each client, we read their Case File Notes, Budgets, Creditors Sheets and other Documents. This initial review identified 109 clients with one or more BNPL debts. Subsequently, we revised down the number of clients with BNPL debts to 100</w:t>
      </w:r>
      <w:r>
        <w:t>,</w:t>
      </w:r>
      <w:r w:rsidRPr="007568C8">
        <w:t xml:space="preserve"> forming the primary sample. The remaining 234 clients had no BNPL debts</w:t>
      </w:r>
      <w:r w:rsidR="00B0567E">
        <w:t>;</w:t>
      </w:r>
      <w:r w:rsidRPr="007568C8">
        <w:t xml:space="preserve"> and these clients formed the comparison sample.</w:t>
      </w:r>
    </w:p>
    <w:p w14:paraId="7CDAF323" w14:textId="77777777" w:rsidR="001702AE" w:rsidRPr="00B47E37" w:rsidRDefault="001702AE" w:rsidP="006B54C7">
      <w:pPr>
        <w:spacing w:before="240"/>
        <w:rPr>
          <w:rStyle w:val="Strong"/>
        </w:rPr>
      </w:pPr>
      <w:r w:rsidRPr="00B47E37">
        <w:rPr>
          <w:rStyle w:val="Strong"/>
        </w:rPr>
        <w:t>Data extraction</w:t>
      </w:r>
    </w:p>
    <w:p w14:paraId="76AE7462" w14:textId="77777777" w:rsidR="001702AE" w:rsidRPr="00525BF2" w:rsidRDefault="001702AE" w:rsidP="006B54C7">
      <w:r w:rsidRPr="00525BF2">
        <w:t>For each client in the primary sample (n = 100) and comparison sample (n = 234), we copied the following information from CASEY, saving it in Excel spreadsheets:</w:t>
      </w:r>
    </w:p>
    <w:p w14:paraId="1DB3B862" w14:textId="77777777" w:rsidR="001702AE" w:rsidRPr="00525BF2" w:rsidRDefault="001702AE" w:rsidP="005D72F8">
      <w:pPr>
        <w:pStyle w:val="Bullets"/>
      </w:pPr>
      <w:r w:rsidRPr="00525BF2">
        <w:t>Type of each debt recorded in Case File Notes and Documents</w:t>
      </w:r>
    </w:p>
    <w:p w14:paraId="12B546EB" w14:textId="77777777" w:rsidR="001702AE" w:rsidRPr="00525BF2" w:rsidRDefault="001702AE" w:rsidP="005D72F8">
      <w:pPr>
        <w:pStyle w:val="Bullets"/>
      </w:pPr>
      <w:r w:rsidRPr="00525BF2">
        <w:t>Current value of each debt, where the information was available</w:t>
      </w:r>
    </w:p>
    <w:p w14:paraId="4F6E6B81" w14:textId="77777777" w:rsidR="001702AE" w:rsidRPr="00525BF2" w:rsidRDefault="001702AE" w:rsidP="005D72F8">
      <w:pPr>
        <w:pStyle w:val="Bullets"/>
      </w:pPr>
      <w:r w:rsidRPr="00525BF2">
        <w:t>Each client’s circumstances, sourced from their Case File Notes and Documents.</w:t>
      </w:r>
    </w:p>
    <w:p w14:paraId="5A1F0E4D" w14:textId="77777777" w:rsidR="001702AE" w:rsidRPr="00525BF2" w:rsidRDefault="001702AE" w:rsidP="00A72EEB">
      <w:pPr>
        <w:spacing w:before="240"/>
      </w:pPr>
      <w:r w:rsidRPr="00525BF2">
        <w:t xml:space="preserve">For each client, we </w:t>
      </w:r>
      <w:r>
        <w:t xml:space="preserve">also </w:t>
      </w:r>
      <w:r w:rsidRPr="00525BF2">
        <w:t xml:space="preserve">generated a Client Details Report and copied the data into Excel. </w:t>
      </w:r>
    </w:p>
    <w:p w14:paraId="74748306" w14:textId="77777777" w:rsidR="001702AE" w:rsidRPr="00B47E37" w:rsidRDefault="001702AE" w:rsidP="006B54C7">
      <w:pPr>
        <w:rPr>
          <w:rStyle w:val="Strong"/>
        </w:rPr>
      </w:pPr>
      <w:r w:rsidRPr="00B47E37">
        <w:rPr>
          <w:rStyle w:val="Strong"/>
        </w:rPr>
        <w:t>Quantitative data analysis</w:t>
      </w:r>
    </w:p>
    <w:p w14:paraId="34D38254" w14:textId="77777777" w:rsidR="001702AE" w:rsidRPr="00701140" w:rsidRDefault="001702AE" w:rsidP="006B54C7">
      <w:pPr>
        <w:spacing w:after="240"/>
        <w:rPr>
          <w:szCs w:val="24"/>
        </w:rPr>
      </w:pPr>
      <w:r>
        <w:rPr>
          <w:szCs w:val="24"/>
        </w:rPr>
        <w:t>For both samples, we analysed data for selected</w:t>
      </w:r>
      <w:r w:rsidRPr="00701140">
        <w:rPr>
          <w:szCs w:val="24"/>
        </w:rPr>
        <w:t xml:space="preserve"> data fields</w:t>
      </w:r>
      <w:r>
        <w:rPr>
          <w:szCs w:val="24"/>
        </w:rPr>
        <w:t xml:space="preserve"> </w:t>
      </w:r>
      <w:r w:rsidRPr="00701140">
        <w:rPr>
          <w:szCs w:val="24"/>
        </w:rPr>
        <w:t>in Excel</w:t>
      </w:r>
      <w:r>
        <w:rPr>
          <w:szCs w:val="24"/>
        </w:rPr>
        <w:t xml:space="preserve">, after excluding prisoners. </w:t>
      </w:r>
      <w:r w:rsidRPr="00701140">
        <w:rPr>
          <w:szCs w:val="24"/>
        </w:rPr>
        <w:t>For each data field</w:t>
      </w:r>
      <w:r>
        <w:rPr>
          <w:szCs w:val="24"/>
        </w:rPr>
        <w:t>, simple c</w:t>
      </w:r>
      <w:r w:rsidRPr="00701140">
        <w:rPr>
          <w:szCs w:val="24"/>
        </w:rPr>
        <w:t xml:space="preserve">ounts </w:t>
      </w:r>
      <w:r>
        <w:rPr>
          <w:szCs w:val="24"/>
        </w:rPr>
        <w:t xml:space="preserve">were </w:t>
      </w:r>
      <w:proofErr w:type="gramStart"/>
      <w:r>
        <w:rPr>
          <w:szCs w:val="24"/>
        </w:rPr>
        <w:t>performed</w:t>
      </w:r>
      <w:proofErr w:type="gramEnd"/>
      <w:r>
        <w:rPr>
          <w:szCs w:val="24"/>
        </w:rPr>
        <w:t xml:space="preserve"> </w:t>
      </w:r>
      <w:r w:rsidRPr="00701140">
        <w:rPr>
          <w:szCs w:val="24"/>
        </w:rPr>
        <w:t>and percentages were calculated</w:t>
      </w:r>
      <w:r>
        <w:rPr>
          <w:szCs w:val="24"/>
        </w:rPr>
        <w:t>, with data cells that were not completed excluded from percentage calculations. For data about client’s BNPL debts and non-BNPL debts, total and average values were calculated, excluding clients where information was not recorded in CASEY. For each client, a simple count was conducted of their BNPL and non-BNPL debts, and totals, average values and ranges were calculated.</w:t>
      </w:r>
    </w:p>
    <w:p w14:paraId="313BA1D0" w14:textId="77777777" w:rsidR="001702AE" w:rsidRPr="00B47E37" w:rsidRDefault="001702AE" w:rsidP="006B54C7">
      <w:pPr>
        <w:rPr>
          <w:rStyle w:val="Strong"/>
        </w:rPr>
      </w:pPr>
      <w:r w:rsidRPr="00B47E37">
        <w:rPr>
          <w:rStyle w:val="Strong"/>
        </w:rPr>
        <w:t>Coding and analysis of data about clients’ circumstances</w:t>
      </w:r>
    </w:p>
    <w:p w14:paraId="57BB8579" w14:textId="77777777" w:rsidR="001702AE" w:rsidRDefault="001702AE" w:rsidP="006B54C7">
      <w:pPr>
        <w:spacing w:after="240"/>
      </w:pPr>
      <w:r w:rsidRPr="004F6369">
        <w:t xml:space="preserve">For </w:t>
      </w:r>
      <w:r>
        <w:t>all clients (n = 334)</w:t>
      </w:r>
      <w:r w:rsidRPr="004F6369">
        <w:t xml:space="preserve">, </w:t>
      </w:r>
      <w:r>
        <w:t xml:space="preserve">their circumstances were analysed as a simple count for the presence of one or more circumstances. These circumstances had been earlier identified as frequently occurring for clients, informed by repeated manual reviews of clients’ Case Files conducted prior to coding. After conducting a simple count in both samples, and excluding prisoners, percentages were calculated. </w:t>
      </w:r>
    </w:p>
    <w:p w14:paraId="4FFC55C9" w14:textId="77777777" w:rsidR="001702AE" w:rsidRPr="00B47E37" w:rsidRDefault="001702AE" w:rsidP="006B54C7">
      <w:pPr>
        <w:rPr>
          <w:rStyle w:val="Strong"/>
        </w:rPr>
      </w:pPr>
      <w:r w:rsidRPr="00B47E37">
        <w:rPr>
          <w:rStyle w:val="Strong"/>
        </w:rPr>
        <w:t>Method for case study illustrations</w:t>
      </w:r>
    </w:p>
    <w:p w14:paraId="1E73F044" w14:textId="77777777" w:rsidR="001702AE" w:rsidRPr="006F42B3" w:rsidRDefault="001702AE" w:rsidP="006B54C7">
      <w:pPr>
        <w:spacing w:after="240"/>
      </w:pPr>
      <w:r w:rsidRPr="006F42B3">
        <w:t>Three case study illustrations</w:t>
      </w:r>
      <w:r>
        <w:t xml:space="preserve"> of clients with BNPL debts</w:t>
      </w:r>
      <w:r w:rsidRPr="006F42B3">
        <w:t xml:space="preserve"> were developed</w:t>
      </w:r>
      <w:r>
        <w:t xml:space="preserve"> by collating quantitative and qualitative data from three client’s Client Profiles and Case File Notes, to present a holistic picture of their demographic characteristics, life circumstances, debts and expressed needs. Their names, exact ages and identifying details were changed to protect their identities.</w:t>
      </w:r>
    </w:p>
    <w:p w14:paraId="60D517EC" w14:textId="77777777" w:rsidR="001702AE" w:rsidRDefault="001702AE" w:rsidP="006B54C7">
      <w:pPr>
        <w:pStyle w:val="Heading1"/>
      </w:pPr>
      <w:bookmarkStart w:id="120" w:name="_Toc130396352"/>
      <w:bookmarkStart w:id="121" w:name="_Toc131232903"/>
      <w:r w:rsidRPr="00584F4A">
        <w:lastRenderedPageBreak/>
        <w:t xml:space="preserve">Appendix </w:t>
      </w:r>
      <w:r>
        <w:t>B:</w:t>
      </w:r>
      <w:r w:rsidRPr="00584F4A">
        <w:t xml:space="preserve"> Survey of Anglicare Tasmania's Financial Counsellors</w:t>
      </w:r>
      <w:bookmarkEnd w:id="120"/>
      <w:bookmarkEnd w:id="121"/>
    </w:p>
    <w:p w14:paraId="6A03B3EA" w14:textId="77777777" w:rsidR="001702AE" w:rsidRPr="00526AC2" w:rsidRDefault="001702AE" w:rsidP="006B54C7">
      <w:pPr>
        <w:spacing w:after="0"/>
        <w:rPr>
          <w:rFonts w:eastAsia="Times New Roman" w:cstheme="minorHAnsi"/>
          <w:sz w:val="22"/>
          <w:lang w:eastAsia="en-AU"/>
        </w:rPr>
      </w:pPr>
      <w:r w:rsidRPr="005403F2">
        <w:rPr>
          <w:rFonts w:eastAsia="Times New Roman" w:cstheme="minorHAnsi"/>
          <w:sz w:val="22"/>
          <w:lang w:eastAsia="en-AU"/>
        </w:rPr>
        <w:t xml:space="preserve">This survey is being conducted for a SARC research project exploring the impacts of Buy Now Pay Later (BNPL) products on Anglicare’s Financial Counselling clients. </w:t>
      </w:r>
      <w:r w:rsidRPr="005403F2">
        <w:rPr>
          <w:rFonts w:eastAsia="Times New Roman" w:cstheme="minorHAnsi"/>
          <w:sz w:val="22"/>
          <w:lang w:eastAsia="en-AU"/>
        </w:rPr>
        <w:br/>
      </w:r>
      <w:r w:rsidRPr="005403F2">
        <w:rPr>
          <w:rFonts w:eastAsia="Times New Roman" w:cstheme="minorHAnsi"/>
          <w:sz w:val="22"/>
          <w:lang w:eastAsia="en-AU"/>
        </w:rPr>
        <w:br/>
        <w:t xml:space="preserve">Please refer to the Participant Information Statement for information about the research. Or contact Dr Alexandra King, Social Action &amp; Research </w:t>
      </w:r>
      <w:proofErr w:type="gramStart"/>
      <w:r w:rsidRPr="005403F2">
        <w:rPr>
          <w:rFonts w:eastAsia="Times New Roman" w:cstheme="minorHAnsi"/>
          <w:sz w:val="22"/>
          <w:lang w:eastAsia="en-AU"/>
        </w:rPr>
        <w:t>Centre</w:t>
      </w:r>
      <w:r>
        <w:rPr>
          <w:rFonts w:eastAsia="Times New Roman" w:cstheme="minorHAnsi"/>
          <w:sz w:val="22"/>
          <w:lang w:eastAsia="en-AU"/>
        </w:rPr>
        <w:t>.</w:t>
      </w:r>
      <w:r w:rsidRPr="005403F2">
        <w:rPr>
          <w:rFonts w:eastAsia="Times New Roman" w:cstheme="minorHAnsi"/>
          <w:sz w:val="22"/>
          <w:lang w:eastAsia="en-AU"/>
        </w:rPr>
        <w:t>.</w:t>
      </w:r>
      <w:proofErr w:type="gramEnd"/>
      <w:r w:rsidRPr="005403F2">
        <w:rPr>
          <w:rFonts w:eastAsia="Times New Roman" w:cstheme="minorHAnsi"/>
          <w:sz w:val="22"/>
          <w:lang w:eastAsia="en-AU"/>
        </w:rPr>
        <w:br/>
      </w:r>
      <w:r w:rsidRPr="005403F2">
        <w:rPr>
          <w:rFonts w:eastAsia="Times New Roman" w:cstheme="minorHAnsi"/>
          <w:sz w:val="22"/>
          <w:lang w:eastAsia="en-AU"/>
        </w:rPr>
        <w:br/>
        <w:t xml:space="preserve">This survey will take approximately 15-20 minutes to complete. </w:t>
      </w:r>
    </w:p>
    <w:p w14:paraId="2B1A0987" w14:textId="77777777" w:rsidR="001702AE" w:rsidRPr="00A77D90" w:rsidRDefault="001702AE" w:rsidP="006B54C7">
      <w:pPr>
        <w:spacing w:line="216" w:lineRule="auto"/>
        <w:rPr>
          <w:rFonts w:eastAsia="Times New Roman" w:cstheme="minorHAnsi"/>
          <w:sz w:val="22"/>
          <w:lang w:eastAsia="en-AU"/>
        </w:rPr>
      </w:pPr>
      <w:r w:rsidRPr="00A77D90">
        <w:rPr>
          <w:rFonts w:eastAsia="Times New Roman" w:cstheme="minorHAnsi"/>
          <w:sz w:val="22"/>
          <w:lang w:eastAsia="en-AU"/>
        </w:rPr>
        <w:t>1. How many of your clients are currently presenting with one or more BNPL debts?</w:t>
      </w:r>
    </w:p>
    <w:p w14:paraId="20EC3AA4" w14:textId="26AFB11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BCFA4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20.45pt;height:18.5pt" o:ole="">
            <v:imagedata r:id="rId25" o:title=""/>
          </v:shape>
          <w:control r:id="rId26" w:name="DefaultOcxName" w:shapeid="_x0000_i1132"/>
        </w:object>
      </w:r>
      <w:r w:rsidRPr="00A77D90">
        <w:rPr>
          <w:rFonts w:eastAsia="Times New Roman" w:cstheme="minorHAnsi"/>
          <w:sz w:val="22"/>
          <w:lang w:eastAsia="en-AU"/>
        </w:rPr>
        <w:t>None</w:t>
      </w:r>
    </w:p>
    <w:p w14:paraId="21925AB4" w14:textId="772A7B8E"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7E34915">
          <v:shape id="_x0000_i1135" type="#_x0000_t75" style="width:20.45pt;height:18.5pt" o:ole="">
            <v:imagedata r:id="rId25" o:title=""/>
          </v:shape>
          <w:control r:id="rId27" w:name="DefaultOcxName1" w:shapeid="_x0000_i1135"/>
        </w:object>
      </w:r>
      <w:r w:rsidRPr="00A77D90">
        <w:rPr>
          <w:rFonts w:eastAsia="Times New Roman" w:cstheme="minorHAnsi"/>
          <w:sz w:val="22"/>
          <w:lang w:eastAsia="en-AU"/>
        </w:rPr>
        <w:t>A few</w:t>
      </w:r>
    </w:p>
    <w:p w14:paraId="06AE7CEB" w14:textId="67239D9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577648D">
          <v:shape id="_x0000_i1138" type="#_x0000_t75" style="width:20.45pt;height:18.5pt" o:ole="">
            <v:imagedata r:id="rId25" o:title=""/>
          </v:shape>
          <w:control r:id="rId28" w:name="DefaultOcxName2" w:shapeid="_x0000_i1138"/>
        </w:object>
      </w:r>
      <w:r w:rsidRPr="00A77D90">
        <w:rPr>
          <w:rFonts w:eastAsia="Times New Roman" w:cstheme="minorHAnsi"/>
          <w:sz w:val="22"/>
          <w:lang w:eastAsia="en-AU"/>
        </w:rPr>
        <w:t>About half</w:t>
      </w:r>
    </w:p>
    <w:p w14:paraId="6EFAE875" w14:textId="685BEDF4"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059385C">
          <v:shape id="_x0000_i1141" type="#_x0000_t75" style="width:20.45pt;height:18.5pt" o:ole="">
            <v:imagedata r:id="rId25" o:title=""/>
          </v:shape>
          <w:control r:id="rId29" w:name="DefaultOcxName3" w:shapeid="_x0000_i1141"/>
        </w:object>
      </w:r>
      <w:r w:rsidRPr="00A77D90">
        <w:rPr>
          <w:rFonts w:eastAsia="Times New Roman" w:cstheme="minorHAnsi"/>
          <w:sz w:val="22"/>
          <w:lang w:eastAsia="en-AU"/>
        </w:rPr>
        <w:t>Most</w:t>
      </w:r>
    </w:p>
    <w:p w14:paraId="2AB4CD56" w14:textId="5F220E81"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9D3F1AC">
          <v:shape id="_x0000_i1144" type="#_x0000_t75" style="width:20.45pt;height:18.5pt" o:ole="">
            <v:imagedata r:id="rId25" o:title=""/>
          </v:shape>
          <w:control r:id="rId30" w:name="DefaultOcxName4" w:shapeid="_x0000_i1144"/>
        </w:object>
      </w:r>
      <w:r w:rsidRPr="00A77D90">
        <w:rPr>
          <w:rFonts w:eastAsia="Times New Roman" w:cstheme="minorHAnsi"/>
          <w:sz w:val="22"/>
          <w:lang w:eastAsia="en-AU"/>
        </w:rPr>
        <w:t>All</w:t>
      </w:r>
    </w:p>
    <w:p w14:paraId="75362764" w14:textId="7FC7C6D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2EB1B92">
          <v:shape id="_x0000_i1147" type="#_x0000_t75" style="width:20.45pt;height:18.5pt" o:ole="">
            <v:imagedata r:id="rId25" o:title=""/>
          </v:shape>
          <w:control r:id="rId31" w:name="DefaultOcxName5" w:shapeid="_x0000_i1147"/>
        </w:object>
      </w:r>
      <w:r w:rsidRPr="00A77D90">
        <w:rPr>
          <w:rFonts w:eastAsia="Times New Roman" w:cstheme="minorHAnsi"/>
          <w:sz w:val="22"/>
          <w:lang w:eastAsia="en-AU"/>
        </w:rPr>
        <w:t>Don't know</w:t>
      </w:r>
    </w:p>
    <w:p w14:paraId="39922EA6" w14:textId="2EE6C37B"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2.</w:t>
      </w:r>
      <w:r w:rsidRPr="00A77D90">
        <w:rPr>
          <w:rFonts w:eastAsia="Times New Roman" w:cstheme="minorHAnsi"/>
          <w:b/>
          <w:sz w:val="22"/>
          <w:lang w:eastAsia="en-AU"/>
        </w:rPr>
        <w:t xml:space="preserve"> </w:t>
      </w:r>
      <w:r w:rsidRPr="00A77D90">
        <w:rPr>
          <w:rFonts w:eastAsia="Times New Roman" w:cstheme="minorHAnsi"/>
          <w:sz w:val="22"/>
          <w:lang w:eastAsia="en-AU"/>
        </w:rPr>
        <w:t xml:space="preserve">Tell us more, if you wish: </w:t>
      </w:r>
      <w:r w:rsidRPr="00A77D90">
        <w:rPr>
          <w:rFonts w:eastAsia="Times New Roman" w:cstheme="minorHAnsi"/>
          <w:lang w:val="en-US"/>
        </w:rPr>
        <w:object w:dxaOrig="225" w:dyaOrig="225" w14:anchorId="608D5979">
          <v:shape id="_x0000_i1151" type="#_x0000_t75" style="width:49.6pt;height:18.5pt" o:ole="">
            <v:imagedata r:id="rId32" o:title=""/>
          </v:shape>
          <w:control r:id="rId33" w:name="DefaultOcxName55521" w:shapeid="_x0000_i1151"/>
        </w:object>
      </w:r>
    </w:p>
    <w:p w14:paraId="381471F1" w14:textId="77777777" w:rsidR="001702AE" w:rsidRPr="00A77D90" w:rsidRDefault="001702AE" w:rsidP="006B54C7">
      <w:pPr>
        <w:spacing w:after="0" w:line="216" w:lineRule="auto"/>
        <w:rPr>
          <w:rFonts w:eastAsia="Times New Roman" w:cstheme="minorHAnsi"/>
          <w:sz w:val="22"/>
          <w:lang w:eastAsia="en-AU"/>
        </w:rPr>
      </w:pPr>
    </w:p>
    <w:p w14:paraId="03640A03" w14:textId="77777777" w:rsidR="001702AE" w:rsidRPr="00A77D90" w:rsidRDefault="001702AE" w:rsidP="006B54C7">
      <w:pPr>
        <w:spacing w:line="216" w:lineRule="auto"/>
        <w:rPr>
          <w:rFonts w:eastAsia="Times New Roman" w:cstheme="minorHAnsi"/>
          <w:sz w:val="22"/>
          <w:lang w:eastAsia="en-AU"/>
        </w:rPr>
      </w:pPr>
      <w:r w:rsidRPr="00A77D90">
        <w:rPr>
          <w:rFonts w:eastAsia="Times New Roman" w:cstheme="minorHAnsi"/>
          <w:sz w:val="22"/>
          <w:lang w:eastAsia="en-AU"/>
        </w:rPr>
        <w:t xml:space="preserve">3. How many of your clients are currently presenting with BNPL debts </w:t>
      </w:r>
      <w:r w:rsidRPr="00A77D90">
        <w:rPr>
          <w:rFonts w:eastAsia="Times New Roman" w:cstheme="minorHAnsi"/>
          <w:b/>
          <w:bCs/>
          <w:sz w:val="22"/>
          <w:lang w:eastAsia="en-AU"/>
        </w:rPr>
        <w:t>compared to 12 months ago</w:t>
      </w:r>
      <w:r w:rsidRPr="00A77D90">
        <w:rPr>
          <w:rFonts w:eastAsia="Times New Roman" w:cstheme="minorHAnsi"/>
          <w:sz w:val="22"/>
          <w:lang w:eastAsia="en-AU"/>
        </w:rPr>
        <w:t>?</w:t>
      </w:r>
    </w:p>
    <w:p w14:paraId="2FE0D84D" w14:textId="1D7BDD7D"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9AE61F5">
          <v:shape id="_x0000_i1154" type="#_x0000_t75" style="width:20.45pt;height:18.5pt" o:ole="">
            <v:imagedata r:id="rId25" o:title=""/>
          </v:shape>
          <w:control r:id="rId34" w:name="DefaultOcxName7" w:shapeid="_x0000_i1154"/>
        </w:object>
      </w:r>
      <w:r w:rsidRPr="00A77D90">
        <w:rPr>
          <w:rFonts w:eastAsia="Times New Roman" w:cstheme="minorHAnsi"/>
          <w:sz w:val="22"/>
          <w:lang w:eastAsia="en-AU"/>
        </w:rPr>
        <w:t>A lot fewer now</w:t>
      </w:r>
    </w:p>
    <w:p w14:paraId="5FD6D930" w14:textId="67EF0CB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1F0B62B">
          <v:shape id="_x0000_i1157" type="#_x0000_t75" style="width:20.45pt;height:18.5pt" o:ole="">
            <v:imagedata r:id="rId25" o:title=""/>
          </v:shape>
          <w:control r:id="rId35" w:name="DefaultOcxName8" w:shapeid="_x0000_i1157"/>
        </w:object>
      </w:r>
      <w:r w:rsidRPr="00A77D90">
        <w:rPr>
          <w:rFonts w:eastAsia="Times New Roman" w:cstheme="minorHAnsi"/>
          <w:sz w:val="22"/>
          <w:lang w:eastAsia="en-AU"/>
        </w:rPr>
        <w:t>Fewer now</w:t>
      </w:r>
    </w:p>
    <w:p w14:paraId="5056F0C3" w14:textId="0098AE63"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A895202">
          <v:shape id="_x0000_i1160" type="#_x0000_t75" style="width:20.45pt;height:18.5pt" o:ole="">
            <v:imagedata r:id="rId25" o:title=""/>
          </v:shape>
          <w:control r:id="rId36" w:name="DefaultOcxName9" w:shapeid="_x0000_i1160"/>
        </w:object>
      </w:r>
      <w:r w:rsidRPr="00A77D90">
        <w:rPr>
          <w:rFonts w:eastAsia="Times New Roman" w:cstheme="minorHAnsi"/>
          <w:sz w:val="22"/>
          <w:lang w:eastAsia="en-AU"/>
        </w:rPr>
        <w:t>About the same now</w:t>
      </w:r>
    </w:p>
    <w:p w14:paraId="325F3904" w14:textId="30F4E69C"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11BEE04">
          <v:shape id="_x0000_i1163" type="#_x0000_t75" style="width:20.45pt;height:18.5pt" o:ole="">
            <v:imagedata r:id="rId25" o:title=""/>
          </v:shape>
          <w:control r:id="rId37" w:name="DefaultOcxName10" w:shapeid="_x0000_i1163"/>
        </w:object>
      </w:r>
      <w:r w:rsidRPr="00A77D90">
        <w:rPr>
          <w:rFonts w:eastAsia="Times New Roman" w:cstheme="minorHAnsi"/>
          <w:sz w:val="22"/>
          <w:lang w:eastAsia="en-AU"/>
        </w:rPr>
        <w:t>More now</w:t>
      </w:r>
    </w:p>
    <w:p w14:paraId="0A1B0F92" w14:textId="0DB164FD"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78700BE">
          <v:shape id="_x0000_i1166" type="#_x0000_t75" style="width:20.45pt;height:18.5pt" o:ole="">
            <v:imagedata r:id="rId25" o:title=""/>
          </v:shape>
          <w:control r:id="rId38" w:name="DefaultOcxName11" w:shapeid="_x0000_i1166"/>
        </w:object>
      </w:r>
      <w:r w:rsidRPr="00A77D90">
        <w:rPr>
          <w:rFonts w:eastAsia="Times New Roman" w:cstheme="minorHAnsi"/>
          <w:sz w:val="22"/>
          <w:lang w:eastAsia="en-AU"/>
        </w:rPr>
        <w:t>A lot more now</w:t>
      </w:r>
    </w:p>
    <w:p w14:paraId="4B310198" w14:textId="48FD929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1346B70">
          <v:shape id="_x0000_i1169" type="#_x0000_t75" style="width:20.45pt;height:18.5pt" o:ole="">
            <v:imagedata r:id="rId25" o:title=""/>
          </v:shape>
          <w:control r:id="rId39" w:name="DefaultOcxName12" w:shapeid="_x0000_i1169"/>
        </w:object>
      </w:r>
      <w:r w:rsidRPr="00A77D90">
        <w:rPr>
          <w:rFonts w:eastAsia="Times New Roman" w:cstheme="minorHAnsi"/>
          <w:sz w:val="22"/>
          <w:lang w:eastAsia="en-AU"/>
        </w:rPr>
        <w:t>Don't know</w:t>
      </w:r>
    </w:p>
    <w:p w14:paraId="32170ED8" w14:textId="681EE591"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30A8F8B">
          <v:shape id="_x0000_i1172" type="#_x0000_t75" style="width:20.45pt;height:18.5pt" o:ole="">
            <v:imagedata r:id="rId25" o:title=""/>
          </v:shape>
          <w:control r:id="rId40" w:name="DefaultOcxName13" w:shapeid="_x0000_i1172"/>
        </w:object>
      </w:r>
      <w:r w:rsidRPr="00A77D90">
        <w:rPr>
          <w:rFonts w:eastAsia="Times New Roman" w:cstheme="minorHAnsi"/>
          <w:sz w:val="22"/>
          <w:lang w:eastAsia="en-AU"/>
        </w:rPr>
        <w:t>Not applicable - e.g. I was not working as a financial counsellor at Anglicare 12 months ago.</w:t>
      </w:r>
    </w:p>
    <w:p w14:paraId="39A13A27" w14:textId="7AECBC3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4. Tell us more, if you wish: </w:t>
      </w:r>
      <w:r w:rsidRPr="00A77D90">
        <w:rPr>
          <w:rFonts w:eastAsia="Times New Roman" w:cstheme="minorHAnsi"/>
          <w:lang w:val="en-US"/>
        </w:rPr>
        <w:object w:dxaOrig="225" w:dyaOrig="225" w14:anchorId="473171AE">
          <v:shape id="_x0000_i1176" type="#_x0000_t75" style="width:49.6pt;height:18.5pt" o:ole="">
            <v:imagedata r:id="rId32" o:title=""/>
          </v:shape>
          <w:control r:id="rId41" w:name="DefaultOcxName5551" w:shapeid="_x0000_i1176"/>
        </w:object>
      </w:r>
    </w:p>
    <w:p w14:paraId="7940C128"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 </w:t>
      </w:r>
    </w:p>
    <w:p w14:paraId="443F1750"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5. Thinking about your clients with BNPL debts, how many of them recognise BNPL as a type of credit?</w:t>
      </w:r>
    </w:p>
    <w:p w14:paraId="436E3499" w14:textId="584CE54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EE3042B">
          <v:shape id="_x0000_i1179" type="#_x0000_t75" style="width:20.45pt;height:18.5pt" o:ole="">
            <v:imagedata r:id="rId25" o:title=""/>
          </v:shape>
          <w:control r:id="rId42" w:name="DefaultOcxName15" w:shapeid="_x0000_i1179"/>
        </w:object>
      </w:r>
      <w:r w:rsidRPr="00A77D90">
        <w:rPr>
          <w:rFonts w:eastAsia="Times New Roman" w:cstheme="minorHAnsi"/>
          <w:sz w:val="22"/>
          <w:lang w:eastAsia="en-AU"/>
        </w:rPr>
        <w:t>None</w:t>
      </w:r>
    </w:p>
    <w:p w14:paraId="75E4B7EE" w14:textId="7A36D96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623BBEF">
          <v:shape id="_x0000_i1182" type="#_x0000_t75" style="width:20.45pt;height:18.5pt" o:ole="">
            <v:imagedata r:id="rId25" o:title=""/>
          </v:shape>
          <w:control r:id="rId43" w:name="DefaultOcxName16" w:shapeid="_x0000_i1182"/>
        </w:object>
      </w:r>
      <w:r w:rsidRPr="00A77D90">
        <w:rPr>
          <w:rFonts w:eastAsia="Times New Roman" w:cstheme="minorHAnsi"/>
          <w:sz w:val="22"/>
          <w:lang w:eastAsia="en-AU"/>
        </w:rPr>
        <w:t>A few</w:t>
      </w:r>
    </w:p>
    <w:p w14:paraId="62712A4F" w14:textId="670F5BAC"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3EDC99E">
          <v:shape id="_x0000_i1185" type="#_x0000_t75" style="width:20.45pt;height:18.5pt" o:ole="">
            <v:imagedata r:id="rId25" o:title=""/>
          </v:shape>
          <w:control r:id="rId44" w:name="DefaultOcxName17" w:shapeid="_x0000_i1185"/>
        </w:object>
      </w:r>
      <w:r w:rsidRPr="00A77D90">
        <w:rPr>
          <w:rFonts w:eastAsia="Times New Roman" w:cstheme="minorHAnsi"/>
          <w:sz w:val="22"/>
          <w:lang w:eastAsia="en-AU"/>
        </w:rPr>
        <w:t>About half</w:t>
      </w:r>
    </w:p>
    <w:p w14:paraId="2A70F47D" w14:textId="24004D45"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lastRenderedPageBreak/>
        <w:object w:dxaOrig="225" w:dyaOrig="225" w14:anchorId="645C8DBC">
          <v:shape id="_x0000_i1188" type="#_x0000_t75" style="width:20.45pt;height:18.5pt" o:ole="">
            <v:imagedata r:id="rId25" o:title=""/>
          </v:shape>
          <w:control r:id="rId45" w:name="DefaultOcxName18" w:shapeid="_x0000_i1188"/>
        </w:object>
      </w:r>
      <w:r w:rsidRPr="00A77D90">
        <w:rPr>
          <w:rFonts w:eastAsia="Times New Roman" w:cstheme="minorHAnsi"/>
          <w:sz w:val="22"/>
          <w:lang w:eastAsia="en-AU"/>
        </w:rPr>
        <w:t>Most</w:t>
      </w:r>
    </w:p>
    <w:p w14:paraId="4A602671" w14:textId="29E6874D"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DB64F3F">
          <v:shape id="_x0000_i1191" type="#_x0000_t75" style="width:20.45pt;height:18.5pt" o:ole="">
            <v:imagedata r:id="rId25" o:title=""/>
          </v:shape>
          <w:control r:id="rId46" w:name="DefaultOcxName19" w:shapeid="_x0000_i1191"/>
        </w:object>
      </w:r>
      <w:r w:rsidRPr="00A77D90">
        <w:rPr>
          <w:rFonts w:eastAsia="Times New Roman" w:cstheme="minorHAnsi"/>
          <w:sz w:val="22"/>
          <w:lang w:eastAsia="en-AU"/>
        </w:rPr>
        <w:t>All</w:t>
      </w:r>
    </w:p>
    <w:p w14:paraId="65AF9E61" w14:textId="3CC81F6E"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60AF794">
          <v:shape id="_x0000_i1194" type="#_x0000_t75" style="width:20.45pt;height:18.5pt" o:ole="">
            <v:imagedata r:id="rId25" o:title=""/>
          </v:shape>
          <w:control r:id="rId47" w:name="DefaultOcxName20" w:shapeid="_x0000_i1194"/>
        </w:object>
      </w:r>
      <w:r w:rsidRPr="00A77D90">
        <w:rPr>
          <w:rFonts w:eastAsia="Times New Roman" w:cstheme="minorHAnsi"/>
          <w:sz w:val="22"/>
          <w:lang w:eastAsia="en-AU"/>
        </w:rPr>
        <w:t>Don't know</w:t>
      </w:r>
    </w:p>
    <w:p w14:paraId="1D5BED92" w14:textId="293809C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6. Tell us more, if you wish: </w:t>
      </w:r>
      <w:r w:rsidRPr="00A77D90">
        <w:rPr>
          <w:rFonts w:eastAsia="Times New Roman" w:cstheme="minorHAnsi"/>
          <w:lang w:val="en-US"/>
        </w:rPr>
        <w:object w:dxaOrig="225" w:dyaOrig="225" w14:anchorId="4DC8E4D9">
          <v:shape id="_x0000_i1198" type="#_x0000_t75" style="width:49.6pt;height:18.5pt" o:ole="">
            <v:imagedata r:id="rId32" o:title=""/>
          </v:shape>
          <w:control r:id="rId48" w:name="DefaultOcxName55522" w:shapeid="_x0000_i1198"/>
        </w:object>
      </w:r>
      <w:r w:rsidRPr="00A77D90">
        <w:rPr>
          <w:rFonts w:eastAsia="Times New Roman" w:cstheme="minorHAnsi"/>
          <w:sz w:val="22"/>
          <w:lang w:eastAsia="en-AU"/>
        </w:rPr>
        <w:t xml:space="preserve"> </w:t>
      </w:r>
    </w:p>
    <w:p w14:paraId="6AB5B6F4" w14:textId="77777777" w:rsidR="001702AE" w:rsidRPr="00A77D90" w:rsidRDefault="001702AE" w:rsidP="006B54C7">
      <w:pPr>
        <w:spacing w:line="216" w:lineRule="auto"/>
        <w:rPr>
          <w:rFonts w:eastAsia="Times New Roman" w:cstheme="minorHAnsi"/>
          <w:sz w:val="22"/>
          <w:lang w:eastAsia="en-AU"/>
        </w:rPr>
      </w:pPr>
    </w:p>
    <w:p w14:paraId="5838A254" w14:textId="77777777" w:rsidR="001702AE" w:rsidRPr="00A77D90" w:rsidRDefault="001702AE" w:rsidP="006B54C7">
      <w:pPr>
        <w:spacing w:line="216" w:lineRule="auto"/>
        <w:rPr>
          <w:rFonts w:eastAsia="Times New Roman" w:cstheme="minorHAnsi"/>
          <w:sz w:val="22"/>
          <w:lang w:eastAsia="en-AU"/>
        </w:rPr>
      </w:pPr>
      <w:r w:rsidRPr="00A77D90">
        <w:rPr>
          <w:rFonts w:eastAsia="Times New Roman" w:cstheme="minorHAnsi"/>
          <w:sz w:val="22"/>
          <w:lang w:eastAsia="en-AU"/>
        </w:rPr>
        <w:t>7. Thinking about your clients with BNPL debts, how many of them have cut back or gone without essentials or missed other payments in order to service their BNPL debts?</w:t>
      </w:r>
    </w:p>
    <w:p w14:paraId="0FB85BBE" w14:textId="3230C09B"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F002AE1">
          <v:shape id="_x0000_i1201" type="#_x0000_t75" style="width:20.45pt;height:18.5pt" o:ole="">
            <v:imagedata r:id="rId25" o:title=""/>
          </v:shape>
          <w:control r:id="rId49" w:name="DefaultOcxName22" w:shapeid="_x0000_i1201"/>
        </w:object>
      </w:r>
      <w:r w:rsidRPr="00A77D90">
        <w:rPr>
          <w:rFonts w:eastAsia="Times New Roman" w:cstheme="minorHAnsi"/>
          <w:sz w:val="22"/>
          <w:lang w:eastAsia="en-AU"/>
        </w:rPr>
        <w:t>None</w:t>
      </w:r>
    </w:p>
    <w:p w14:paraId="2EA438BA" w14:textId="3C3EA413"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479CF9B">
          <v:shape id="_x0000_i1204" type="#_x0000_t75" style="width:20.45pt;height:18.5pt" o:ole="">
            <v:imagedata r:id="rId25" o:title=""/>
          </v:shape>
          <w:control r:id="rId50" w:name="DefaultOcxName23" w:shapeid="_x0000_i1204"/>
        </w:object>
      </w:r>
      <w:r w:rsidRPr="00A77D90">
        <w:rPr>
          <w:rFonts w:eastAsia="Times New Roman" w:cstheme="minorHAnsi"/>
          <w:sz w:val="22"/>
          <w:lang w:eastAsia="en-AU"/>
        </w:rPr>
        <w:t>A few</w:t>
      </w:r>
    </w:p>
    <w:p w14:paraId="6D2113F4" w14:textId="79B151E3"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01E4D4B">
          <v:shape id="_x0000_i1207" type="#_x0000_t75" style="width:20.45pt;height:18.5pt" o:ole="">
            <v:imagedata r:id="rId25" o:title=""/>
          </v:shape>
          <w:control r:id="rId51" w:name="DefaultOcxName24" w:shapeid="_x0000_i1207"/>
        </w:object>
      </w:r>
      <w:r w:rsidRPr="00A77D90">
        <w:rPr>
          <w:rFonts w:eastAsia="Times New Roman" w:cstheme="minorHAnsi"/>
          <w:sz w:val="22"/>
          <w:lang w:eastAsia="en-AU"/>
        </w:rPr>
        <w:t>About half</w:t>
      </w:r>
    </w:p>
    <w:p w14:paraId="2907766C" w14:textId="4FFEF12D"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58803DF">
          <v:shape id="_x0000_i1210" type="#_x0000_t75" style="width:20.45pt;height:18.5pt" o:ole="">
            <v:imagedata r:id="rId25" o:title=""/>
          </v:shape>
          <w:control r:id="rId52" w:name="DefaultOcxName25" w:shapeid="_x0000_i1210"/>
        </w:object>
      </w:r>
      <w:r w:rsidRPr="00A77D90">
        <w:rPr>
          <w:rFonts w:eastAsia="Times New Roman" w:cstheme="minorHAnsi"/>
          <w:sz w:val="22"/>
          <w:lang w:eastAsia="en-AU"/>
        </w:rPr>
        <w:t>Most</w:t>
      </w:r>
    </w:p>
    <w:p w14:paraId="1E56CD9A" w14:textId="62F2DFEB"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E0962BF">
          <v:shape id="_x0000_i1213" type="#_x0000_t75" style="width:20.45pt;height:18.5pt" o:ole="">
            <v:imagedata r:id="rId25" o:title=""/>
          </v:shape>
          <w:control r:id="rId53" w:name="DefaultOcxName26" w:shapeid="_x0000_i1213"/>
        </w:object>
      </w:r>
      <w:r w:rsidRPr="00A77D90">
        <w:rPr>
          <w:rFonts w:eastAsia="Times New Roman" w:cstheme="minorHAnsi"/>
          <w:sz w:val="22"/>
          <w:lang w:eastAsia="en-AU"/>
        </w:rPr>
        <w:t>All</w:t>
      </w:r>
    </w:p>
    <w:p w14:paraId="031A418D" w14:textId="612C38C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91DFFF8">
          <v:shape id="_x0000_i1216" type="#_x0000_t75" style="width:20.45pt;height:18.5pt" o:ole="">
            <v:imagedata r:id="rId25" o:title=""/>
          </v:shape>
          <w:control r:id="rId54" w:name="DefaultOcxName27" w:shapeid="_x0000_i1216"/>
        </w:object>
      </w:r>
      <w:r w:rsidRPr="00A77D90">
        <w:rPr>
          <w:rFonts w:eastAsia="Times New Roman" w:cstheme="minorHAnsi"/>
          <w:sz w:val="22"/>
          <w:lang w:eastAsia="en-AU"/>
        </w:rPr>
        <w:t>Don't know</w:t>
      </w:r>
    </w:p>
    <w:p w14:paraId="21515EF8" w14:textId="398523F5"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8. Tell us more, if you wish: </w:t>
      </w:r>
      <w:r w:rsidRPr="00A77D90">
        <w:rPr>
          <w:rFonts w:eastAsia="Times New Roman" w:cstheme="minorHAnsi"/>
          <w:lang w:val="en-US"/>
        </w:rPr>
        <w:object w:dxaOrig="225" w:dyaOrig="225" w14:anchorId="4EF1AAFA">
          <v:shape id="_x0000_i1220" type="#_x0000_t75" style="width:49.6pt;height:18.5pt" o:ole="">
            <v:imagedata r:id="rId32" o:title=""/>
          </v:shape>
          <w:control r:id="rId55" w:name="DefaultOcxName5552" w:shapeid="_x0000_i1220"/>
        </w:object>
      </w:r>
    </w:p>
    <w:p w14:paraId="49B51208"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 </w:t>
      </w:r>
    </w:p>
    <w:p w14:paraId="4281A7C1" w14:textId="77777777" w:rsidR="001702AE" w:rsidRPr="00A77D90" w:rsidRDefault="001702AE" w:rsidP="006B54C7">
      <w:pPr>
        <w:spacing w:line="216" w:lineRule="auto"/>
        <w:rPr>
          <w:rFonts w:eastAsia="Times New Roman" w:cstheme="minorHAnsi"/>
          <w:sz w:val="22"/>
          <w:lang w:eastAsia="en-AU"/>
        </w:rPr>
      </w:pPr>
      <w:r w:rsidRPr="00A77D90">
        <w:rPr>
          <w:rFonts w:eastAsia="Times New Roman" w:cstheme="minorHAnsi"/>
          <w:sz w:val="22"/>
          <w:lang w:eastAsia="en-AU"/>
        </w:rPr>
        <w:t>9. Thinking about your clients with BNPL debts, what are the most common items purchased using BNPL products?</w:t>
      </w:r>
    </w:p>
    <w:p w14:paraId="030D71B5" w14:textId="77777777" w:rsidR="001702AE" w:rsidRPr="00A77D90" w:rsidRDefault="001702AE" w:rsidP="006B54C7">
      <w:pPr>
        <w:spacing w:line="216" w:lineRule="auto"/>
        <w:rPr>
          <w:rFonts w:eastAsia="Times New Roman" w:cstheme="minorHAnsi"/>
          <w:i/>
          <w:spacing w:val="-5"/>
          <w:sz w:val="22"/>
          <w:lang w:eastAsia="en-AU"/>
        </w:rPr>
      </w:pPr>
      <w:r w:rsidRPr="00A77D90">
        <w:rPr>
          <w:rFonts w:eastAsia="Times New Roman" w:cstheme="minorHAnsi"/>
          <w:i/>
          <w:spacing w:val="-5"/>
          <w:sz w:val="22"/>
          <w:lang w:eastAsia="en-AU"/>
        </w:rPr>
        <w:t>Please select at most 3 options.</w:t>
      </w:r>
    </w:p>
    <w:p w14:paraId="35CFD105" w14:textId="6F10A504"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8392984">
          <v:shape id="_x0000_i1223" type="#_x0000_t75" style="width:20.45pt;height:18.5pt" o:ole="">
            <v:imagedata r:id="rId56" o:title=""/>
          </v:shape>
          <w:control r:id="rId57" w:name="DefaultOcxName29" w:shapeid="_x0000_i1223"/>
        </w:object>
      </w:r>
      <w:r w:rsidRPr="00A77D90">
        <w:rPr>
          <w:rFonts w:eastAsia="Times New Roman" w:cstheme="minorHAnsi"/>
          <w:sz w:val="22"/>
          <w:lang w:eastAsia="en-AU"/>
        </w:rPr>
        <w:t>Furniture</w:t>
      </w:r>
    </w:p>
    <w:p w14:paraId="0092835D" w14:textId="1457E2BD"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3FA679F">
          <v:shape id="_x0000_i1226" type="#_x0000_t75" style="width:20.45pt;height:18.5pt" o:ole="">
            <v:imagedata r:id="rId56" o:title=""/>
          </v:shape>
          <w:control r:id="rId58" w:name="DefaultOcxName30" w:shapeid="_x0000_i1226"/>
        </w:object>
      </w:r>
      <w:r w:rsidRPr="00A77D90">
        <w:rPr>
          <w:rFonts w:eastAsia="Times New Roman" w:cstheme="minorHAnsi"/>
          <w:sz w:val="22"/>
          <w:lang w:eastAsia="en-AU"/>
        </w:rPr>
        <w:t>Educational expenses</w:t>
      </w:r>
    </w:p>
    <w:p w14:paraId="0FC64966" w14:textId="4463AF2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8662138">
          <v:shape id="_x0000_i1229" type="#_x0000_t75" style="width:20.45pt;height:18.5pt" o:ole="">
            <v:imagedata r:id="rId56" o:title=""/>
          </v:shape>
          <w:control r:id="rId59" w:name="DefaultOcxName31" w:shapeid="_x0000_i1229"/>
        </w:object>
      </w:r>
      <w:r w:rsidRPr="00A77D90">
        <w:rPr>
          <w:rFonts w:eastAsia="Times New Roman" w:cstheme="minorHAnsi"/>
          <w:sz w:val="22"/>
          <w:lang w:eastAsia="en-AU"/>
        </w:rPr>
        <w:t>Transport or petrol</w:t>
      </w:r>
    </w:p>
    <w:p w14:paraId="44FA93E4" w14:textId="208650A1"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1152EBE">
          <v:shape id="_x0000_i1232" type="#_x0000_t75" style="width:20.45pt;height:18.5pt" o:ole="">
            <v:imagedata r:id="rId56" o:title=""/>
          </v:shape>
          <w:control r:id="rId60" w:name="DefaultOcxName32" w:shapeid="_x0000_i1232"/>
        </w:object>
      </w:r>
      <w:r w:rsidRPr="00A77D90">
        <w:rPr>
          <w:rFonts w:eastAsia="Times New Roman" w:cstheme="minorHAnsi"/>
          <w:sz w:val="22"/>
          <w:lang w:eastAsia="en-AU"/>
        </w:rPr>
        <w:t xml:space="preserve">Utilities - </w:t>
      </w:r>
      <w:proofErr w:type="gramStart"/>
      <w:r w:rsidRPr="00A77D90">
        <w:rPr>
          <w:rFonts w:eastAsia="Times New Roman" w:cstheme="minorHAnsi"/>
          <w:sz w:val="22"/>
          <w:lang w:eastAsia="en-AU"/>
        </w:rPr>
        <w:t>e.g.</w:t>
      </w:r>
      <w:proofErr w:type="gramEnd"/>
      <w:r w:rsidRPr="00A77D90">
        <w:rPr>
          <w:rFonts w:eastAsia="Times New Roman" w:cstheme="minorHAnsi"/>
          <w:sz w:val="22"/>
          <w:lang w:eastAsia="en-AU"/>
        </w:rPr>
        <w:t xml:space="preserve"> water, gas, electricity, telephone, internet</w:t>
      </w:r>
    </w:p>
    <w:p w14:paraId="5C085BE5" w14:textId="2691E13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4AF2137">
          <v:shape id="_x0000_i1235" type="#_x0000_t75" style="width:20.45pt;height:18.5pt" o:ole="">
            <v:imagedata r:id="rId56" o:title=""/>
          </v:shape>
          <w:control r:id="rId61" w:name="DefaultOcxName33" w:shapeid="_x0000_i1235"/>
        </w:object>
      </w:r>
      <w:r w:rsidRPr="00A77D90">
        <w:rPr>
          <w:rFonts w:eastAsia="Times New Roman" w:cstheme="minorHAnsi"/>
          <w:sz w:val="22"/>
          <w:lang w:eastAsia="en-AU"/>
        </w:rPr>
        <w:t>Clothing or shoes for adults</w:t>
      </w:r>
    </w:p>
    <w:p w14:paraId="47BA3C0E" w14:textId="0001F17E"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D9A0DED">
          <v:shape id="_x0000_i1238" type="#_x0000_t75" style="width:20.45pt;height:18.5pt" o:ole="">
            <v:imagedata r:id="rId56" o:title=""/>
          </v:shape>
          <w:control r:id="rId62" w:name="DefaultOcxName34" w:shapeid="_x0000_i1238"/>
        </w:object>
      </w:r>
      <w:r w:rsidRPr="00A77D90">
        <w:rPr>
          <w:rFonts w:eastAsia="Times New Roman" w:cstheme="minorHAnsi"/>
          <w:sz w:val="22"/>
          <w:lang w:eastAsia="en-AU"/>
        </w:rPr>
        <w:t>Household appliances</w:t>
      </w:r>
    </w:p>
    <w:p w14:paraId="4E9EB316" w14:textId="3DF64C1F"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A1519DB">
          <v:shape id="_x0000_i1241" type="#_x0000_t75" style="width:20.45pt;height:18.5pt" o:ole="">
            <v:imagedata r:id="rId56" o:title=""/>
          </v:shape>
          <w:control r:id="rId63" w:name="DefaultOcxName35" w:shapeid="_x0000_i1241"/>
        </w:object>
      </w:r>
      <w:r w:rsidRPr="00A77D90">
        <w:rPr>
          <w:rFonts w:eastAsia="Times New Roman" w:cstheme="minorHAnsi"/>
          <w:sz w:val="22"/>
          <w:lang w:eastAsia="en-AU"/>
        </w:rPr>
        <w:t>Clothing or shoes for children, or baby products</w:t>
      </w:r>
    </w:p>
    <w:p w14:paraId="39493034" w14:textId="05D7A2C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68DE1D2">
          <v:shape id="_x0000_i1244" type="#_x0000_t75" style="width:20.45pt;height:18.5pt" o:ole="">
            <v:imagedata r:id="rId56" o:title=""/>
          </v:shape>
          <w:control r:id="rId64" w:name="DefaultOcxName36" w:shapeid="_x0000_i1244"/>
        </w:object>
      </w:r>
      <w:r w:rsidRPr="00A77D90">
        <w:rPr>
          <w:rFonts w:eastAsia="Times New Roman" w:cstheme="minorHAnsi"/>
          <w:sz w:val="22"/>
          <w:lang w:eastAsia="en-AU"/>
        </w:rPr>
        <w:t>Don't know</w:t>
      </w:r>
    </w:p>
    <w:p w14:paraId="47CB133B" w14:textId="38D95AD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C1CE11F">
          <v:shape id="_x0000_i1247" type="#_x0000_t75" style="width:20.45pt;height:18.5pt" o:ole="">
            <v:imagedata r:id="rId56" o:title=""/>
          </v:shape>
          <w:control r:id="rId65" w:name="DefaultOcxName37" w:shapeid="_x0000_i1247"/>
        </w:object>
      </w:r>
      <w:r w:rsidRPr="00A77D90">
        <w:rPr>
          <w:rFonts w:eastAsia="Times New Roman" w:cstheme="minorHAnsi"/>
          <w:sz w:val="22"/>
          <w:lang w:eastAsia="en-AU"/>
        </w:rPr>
        <w:t>Pet expenses</w:t>
      </w:r>
    </w:p>
    <w:p w14:paraId="54AD9E31" w14:textId="622B140C"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AF54611">
          <v:shape id="_x0000_i1250" type="#_x0000_t75" style="width:20.45pt;height:18.5pt" o:ole="">
            <v:imagedata r:id="rId56" o:title=""/>
          </v:shape>
          <w:control r:id="rId66" w:name="DefaultOcxName38" w:shapeid="_x0000_i1250"/>
        </w:object>
      </w:r>
      <w:r w:rsidRPr="00A77D90">
        <w:rPr>
          <w:rFonts w:eastAsia="Times New Roman" w:cstheme="minorHAnsi"/>
          <w:sz w:val="22"/>
          <w:lang w:eastAsia="en-AU"/>
        </w:rPr>
        <w:t>Food and groceries</w:t>
      </w:r>
    </w:p>
    <w:p w14:paraId="239A9CE3" w14:textId="21AB6501"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E8DD1EC">
          <v:shape id="_x0000_i1253" type="#_x0000_t75" style="width:20.45pt;height:18.5pt" o:ole="">
            <v:imagedata r:id="rId56" o:title=""/>
          </v:shape>
          <w:control r:id="rId67" w:name="DefaultOcxName39" w:shapeid="_x0000_i1253"/>
        </w:object>
      </w:r>
      <w:r w:rsidRPr="00A77D90">
        <w:rPr>
          <w:rFonts w:eastAsia="Times New Roman" w:cstheme="minorHAnsi"/>
          <w:sz w:val="22"/>
          <w:lang w:eastAsia="en-AU"/>
        </w:rPr>
        <w:t>Health or medical goods and services</w:t>
      </w:r>
    </w:p>
    <w:p w14:paraId="7D817732" w14:textId="789F5AAA"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1BAF2BE">
          <v:shape id="_x0000_i1256" type="#_x0000_t75" style="width:20.45pt;height:18.5pt" o:ole="">
            <v:imagedata r:id="rId56" o:title=""/>
          </v:shape>
          <w:control r:id="rId68" w:name="DefaultOcxName40" w:shapeid="_x0000_i1256"/>
        </w:object>
      </w:r>
      <w:r w:rsidRPr="00A77D90">
        <w:rPr>
          <w:rFonts w:eastAsia="Times New Roman" w:cstheme="minorHAnsi"/>
          <w:sz w:val="22"/>
          <w:lang w:eastAsia="en-AU"/>
        </w:rPr>
        <w:t xml:space="preserve">Other: </w:t>
      </w:r>
      <w:r w:rsidRPr="00A77D90">
        <w:rPr>
          <w:rFonts w:eastAsia="Times New Roman" w:cstheme="minorHAnsi"/>
          <w:lang w:val="en-US"/>
        </w:rPr>
        <w:object w:dxaOrig="225" w:dyaOrig="225" w14:anchorId="2BFF6314">
          <v:shape id="_x0000_i1260" type="#_x0000_t75" style="width:49.6pt;height:18.5pt" o:ole="">
            <v:imagedata r:id="rId32" o:title=""/>
          </v:shape>
          <w:control r:id="rId69" w:name="DefaultOcxName554" w:shapeid="_x0000_i1260"/>
        </w:object>
      </w:r>
    </w:p>
    <w:p w14:paraId="6AC6A4FC" w14:textId="27C91FD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lastRenderedPageBreak/>
        <w:t xml:space="preserve">10. Tell us more, if you wish: </w:t>
      </w:r>
      <w:r w:rsidRPr="00A77D90">
        <w:rPr>
          <w:rFonts w:eastAsia="Times New Roman" w:cstheme="minorHAnsi"/>
          <w:lang w:val="en-US"/>
        </w:rPr>
        <w:object w:dxaOrig="225" w:dyaOrig="225" w14:anchorId="7F88BA12">
          <v:shape id="_x0000_i1264" type="#_x0000_t75" style="width:49.6pt;height:18.5pt" o:ole="">
            <v:imagedata r:id="rId32" o:title=""/>
          </v:shape>
          <w:control r:id="rId70" w:name="DefaultOcxName555" w:shapeid="_x0000_i1264"/>
        </w:object>
      </w:r>
    </w:p>
    <w:p w14:paraId="61B44012" w14:textId="77777777" w:rsidR="001702AE" w:rsidRPr="00A77D90" w:rsidRDefault="001702AE" w:rsidP="006B54C7">
      <w:pPr>
        <w:spacing w:after="0" w:line="216" w:lineRule="auto"/>
        <w:rPr>
          <w:rFonts w:eastAsia="Times New Roman" w:cstheme="minorHAnsi"/>
          <w:sz w:val="22"/>
          <w:lang w:eastAsia="en-AU"/>
        </w:rPr>
      </w:pPr>
    </w:p>
    <w:p w14:paraId="5B0ADB5D"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 11. Thinking about your clients overall, which type of debt is causing them the </w:t>
      </w:r>
      <w:r w:rsidRPr="00A77D90">
        <w:rPr>
          <w:rFonts w:eastAsia="Times New Roman" w:cstheme="minorHAnsi"/>
          <w:b/>
          <w:bCs/>
          <w:sz w:val="22"/>
          <w:lang w:eastAsia="en-AU"/>
        </w:rPr>
        <w:t>most severe</w:t>
      </w:r>
      <w:r w:rsidRPr="00A77D90">
        <w:rPr>
          <w:rFonts w:eastAsia="Times New Roman" w:cstheme="minorHAnsi"/>
          <w:sz w:val="22"/>
          <w:lang w:eastAsia="en-AU"/>
        </w:rPr>
        <w:t xml:space="preserve"> difficulties?</w:t>
      </w:r>
      <w:r w:rsidRPr="00A77D90">
        <w:rPr>
          <w:rFonts w:eastAsia="Times New Roman" w:cstheme="minorHAnsi"/>
          <w:sz w:val="22"/>
          <w:lang w:eastAsia="en-AU"/>
        </w:rPr>
        <w:br/>
      </w:r>
    </w:p>
    <w:p w14:paraId="4A8E5D0B" w14:textId="77777777" w:rsidR="001702AE" w:rsidRPr="00A77D90" w:rsidRDefault="001702AE" w:rsidP="006B54C7">
      <w:pPr>
        <w:spacing w:line="216" w:lineRule="auto"/>
        <w:rPr>
          <w:rFonts w:eastAsia="Times New Roman" w:cstheme="minorHAnsi"/>
          <w:spacing w:val="-5"/>
          <w:sz w:val="22"/>
          <w:lang w:eastAsia="en-AU"/>
        </w:rPr>
      </w:pPr>
      <w:r w:rsidRPr="00A77D90">
        <w:rPr>
          <w:rFonts w:eastAsia="Times New Roman" w:cstheme="minorHAnsi"/>
          <w:spacing w:val="-5"/>
          <w:sz w:val="22"/>
          <w:lang w:eastAsia="en-AU"/>
        </w:rPr>
        <w:t>Please select at most 3 options.</w:t>
      </w:r>
    </w:p>
    <w:p w14:paraId="52945C2A" w14:textId="402CEE1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B575381">
          <v:shape id="_x0000_i1267" type="#_x0000_t75" style="width:20.45pt;height:18.5pt" o:ole="">
            <v:imagedata r:id="rId56" o:title=""/>
          </v:shape>
          <w:control r:id="rId71" w:name="DefaultOcxName43" w:shapeid="_x0000_i1267"/>
        </w:object>
      </w:r>
      <w:r w:rsidRPr="00A77D90">
        <w:rPr>
          <w:rFonts w:eastAsia="Times New Roman" w:cstheme="minorHAnsi"/>
          <w:sz w:val="22"/>
          <w:lang w:eastAsia="en-AU"/>
        </w:rPr>
        <w:t>Consumer loans</w:t>
      </w:r>
    </w:p>
    <w:p w14:paraId="20A0AA0D" w14:textId="20FDA9DF"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02B4538">
          <v:shape id="_x0000_i1270" type="#_x0000_t75" style="width:20.45pt;height:18.5pt" o:ole="">
            <v:imagedata r:id="rId56" o:title=""/>
          </v:shape>
          <w:control r:id="rId72" w:name="DefaultOcxName44" w:shapeid="_x0000_i1270"/>
        </w:object>
      </w:r>
      <w:r w:rsidRPr="00A77D90">
        <w:rPr>
          <w:rFonts w:eastAsia="Times New Roman" w:cstheme="minorHAnsi"/>
          <w:sz w:val="22"/>
          <w:lang w:eastAsia="en-AU"/>
        </w:rPr>
        <w:t>Buy Now Pay Later products</w:t>
      </w:r>
    </w:p>
    <w:p w14:paraId="4EA872B0" w14:textId="798D1B7E"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70B4884">
          <v:shape id="_x0000_i1273" type="#_x0000_t75" style="width:20.45pt;height:18.5pt" o:ole="">
            <v:imagedata r:id="rId56" o:title=""/>
          </v:shape>
          <w:control r:id="rId73" w:name="DefaultOcxName45" w:shapeid="_x0000_i1273"/>
        </w:object>
      </w:r>
      <w:r w:rsidRPr="00A77D90">
        <w:rPr>
          <w:rFonts w:eastAsia="Times New Roman" w:cstheme="minorHAnsi"/>
          <w:sz w:val="22"/>
          <w:lang w:eastAsia="en-AU"/>
        </w:rPr>
        <w:t xml:space="preserve">Utility debts - </w:t>
      </w:r>
      <w:proofErr w:type="gramStart"/>
      <w:r w:rsidRPr="00A77D90">
        <w:rPr>
          <w:rFonts w:eastAsia="Times New Roman" w:cstheme="minorHAnsi"/>
          <w:sz w:val="22"/>
          <w:lang w:eastAsia="en-AU"/>
        </w:rPr>
        <w:t>e.g.</w:t>
      </w:r>
      <w:proofErr w:type="gramEnd"/>
      <w:r w:rsidRPr="00A77D90">
        <w:rPr>
          <w:rFonts w:eastAsia="Times New Roman" w:cstheme="minorHAnsi"/>
          <w:sz w:val="22"/>
          <w:lang w:eastAsia="en-AU"/>
        </w:rPr>
        <w:t xml:space="preserve"> water, gas, electricity, telephone, internet</w:t>
      </w:r>
    </w:p>
    <w:p w14:paraId="2F44AC18" w14:textId="26E5383E"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6E9BB42">
          <v:shape id="_x0000_i1276" type="#_x0000_t75" style="width:20.45pt;height:18.5pt" o:ole="">
            <v:imagedata r:id="rId56" o:title=""/>
          </v:shape>
          <w:control r:id="rId74" w:name="DefaultOcxName46" w:shapeid="_x0000_i1276"/>
        </w:object>
      </w:r>
      <w:r w:rsidRPr="00A77D90">
        <w:rPr>
          <w:rFonts w:eastAsia="Times New Roman" w:cstheme="minorHAnsi"/>
          <w:sz w:val="22"/>
          <w:lang w:eastAsia="en-AU"/>
        </w:rPr>
        <w:t>Credit cards</w:t>
      </w:r>
    </w:p>
    <w:p w14:paraId="788AEC9B" w14:textId="15ACF9CB"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FC19B83">
          <v:shape id="_x0000_i1279" type="#_x0000_t75" style="width:20.45pt;height:18.5pt" o:ole="">
            <v:imagedata r:id="rId56" o:title=""/>
          </v:shape>
          <w:control r:id="rId75" w:name="DefaultOcxName47" w:shapeid="_x0000_i1279"/>
        </w:object>
      </w:r>
      <w:r w:rsidRPr="00A77D90">
        <w:rPr>
          <w:rFonts w:eastAsia="Times New Roman" w:cstheme="minorHAnsi"/>
          <w:sz w:val="22"/>
          <w:lang w:eastAsia="en-AU"/>
        </w:rPr>
        <w:t>Fines (</w:t>
      </w:r>
      <w:proofErr w:type="gramStart"/>
      <w:r w:rsidRPr="00A77D90">
        <w:rPr>
          <w:rFonts w:eastAsia="Times New Roman" w:cstheme="minorHAnsi"/>
          <w:sz w:val="22"/>
          <w:lang w:eastAsia="en-AU"/>
        </w:rPr>
        <w:t>e.g.</w:t>
      </w:r>
      <w:proofErr w:type="gramEnd"/>
      <w:r w:rsidRPr="00A77D90">
        <w:rPr>
          <w:rFonts w:eastAsia="Times New Roman" w:cstheme="minorHAnsi"/>
          <w:sz w:val="22"/>
          <w:lang w:eastAsia="en-AU"/>
        </w:rPr>
        <w:t xml:space="preserve"> traffic or other offences)</w:t>
      </w:r>
    </w:p>
    <w:p w14:paraId="04A3F8FD" w14:textId="7C8B061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1779D7A">
          <v:shape id="_x0000_i1282" type="#_x0000_t75" style="width:20.45pt;height:18.5pt" o:ole="">
            <v:imagedata r:id="rId56" o:title=""/>
          </v:shape>
          <w:control r:id="rId76" w:name="DefaultOcxName48" w:shapeid="_x0000_i1282"/>
        </w:object>
      </w:r>
      <w:r w:rsidRPr="00A77D90">
        <w:rPr>
          <w:rFonts w:eastAsia="Times New Roman" w:cstheme="minorHAnsi"/>
          <w:sz w:val="22"/>
          <w:lang w:eastAsia="en-AU"/>
        </w:rPr>
        <w:t>Mortgages</w:t>
      </w:r>
    </w:p>
    <w:p w14:paraId="2193ACFF" w14:textId="6B9CCB84"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4E0FD3B">
          <v:shape id="_x0000_i1285" type="#_x0000_t75" style="width:20.45pt;height:18.5pt" o:ole="">
            <v:imagedata r:id="rId56" o:title=""/>
          </v:shape>
          <w:control r:id="rId77" w:name="DefaultOcxName49" w:shapeid="_x0000_i1285"/>
        </w:object>
      </w:r>
      <w:r w:rsidRPr="00A77D90">
        <w:rPr>
          <w:rFonts w:eastAsia="Times New Roman" w:cstheme="minorHAnsi"/>
          <w:sz w:val="22"/>
          <w:lang w:eastAsia="en-AU"/>
        </w:rPr>
        <w:t>Payday loans</w:t>
      </w:r>
    </w:p>
    <w:p w14:paraId="3960771F" w14:textId="365919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65F84D8">
          <v:shape id="_x0000_i1288" type="#_x0000_t75" style="width:20.45pt;height:18.5pt" o:ole="">
            <v:imagedata r:id="rId56" o:title=""/>
          </v:shape>
          <w:control r:id="rId78" w:name="DefaultOcxName50" w:shapeid="_x0000_i1288"/>
        </w:object>
      </w:r>
      <w:r w:rsidRPr="00A77D90">
        <w:rPr>
          <w:rFonts w:eastAsia="Times New Roman" w:cstheme="minorHAnsi"/>
          <w:sz w:val="22"/>
          <w:lang w:eastAsia="en-AU"/>
        </w:rPr>
        <w:t>Personal loans</w:t>
      </w:r>
    </w:p>
    <w:p w14:paraId="44C6BADA" w14:textId="1EB53D9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9782618">
          <v:shape id="_x0000_i1291" type="#_x0000_t75" style="width:20.45pt;height:18.5pt" o:ole="">
            <v:imagedata r:id="rId56" o:title=""/>
          </v:shape>
          <w:control r:id="rId79" w:name="DefaultOcxName51" w:shapeid="_x0000_i1291"/>
        </w:object>
      </w:r>
      <w:r w:rsidRPr="00A77D90">
        <w:rPr>
          <w:rFonts w:eastAsia="Times New Roman" w:cstheme="minorHAnsi"/>
          <w:sz w:val="22"/>
          <w:lang w:eastAsia="en-AU"/>
        </w:rPr>
        <w:t>Don't know</w:t>
      </w:r>
    </w:p>
    <w:p w14:paraId="16FB07D4" w14:textId="313D150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15A0F1A">
          <v:shape id="_x0000_i1294" type="#_x0000_t75" style="width:20.45pt;height:18.5pt" o:ole="">
            <v:imagedata r:id="rId56" o:title=""/>
          </v:shape>
          <w:control r:id="rId80" w:name="DefaultOcxName52" w:shapeid="_x0000_i1294"/>
        </w:object>
      </w:r>
      <w:r w:rsidRPr="00A77D90">
        <w:rPr>
          <w:rFonts w:eastAsia="Times New Roman" w:cstheme="minorHAnsi"/>
          <w:sz w:val="22"/>
          <w:lang w:eastAsia="en-AU"/>
        </w:rPr>
        <w:t>Centrelink advances or overpayments</w:t>
      </w:r>
    </w:p>
    <w:p w14:paraId="37680032" w14:textId="66C0AD6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70254FA">
          <v:shape id="_x0000_i1297" type="#_x0000_t75" style="width:20.45pt;height:18.5pt" o:ole="">
            <v:imagedata r:id="rId56" o:title=""/>
          </v:shape>
          <w:control r:id="rId81" w:name="DefaultOcxName53" w:shapeid="_x0000_i1297"/>
        </w:object>
      </w:r>
      <w:r w:rsidRPr="00A77D90">
        <w:rPr>
          <w:rFonts w:eastAsia="Times New Roman" w:cstheme="minorHAnsi"/>
          <w:sz w:val="22"/>
          <w:lang w:eastAsia="en-AU"/>
        </w:rPr>
        <w:t>Rental arrears</w:t>
      </w:r>
    </w:p>
    <w:p w14:paraId="2BDC5023" w14:textId="07DF830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F82D051">
          <v:shape id="_x0000_i1300" type="#_x0000_t75" style="width:20.45pt;height:18.5pt" o:ole="">
            <v:imagedata r:id="rId56" o:title=""/>
          </v:shape>
          <w:control r:id="rId82" w:name="DefaultOcxName54" w:shapeid="_x0000_i1300"/>
        </w:object>
      </w:r>
      <w:r w:rsidRPr="00A77D90">
        <w:rPr>
          <w:rFonts w:eastAsia="Times New Roman" w:cstheme="minorHAnsi"/>
          <w:sz w:val="22"/>
          <w:lang w:eastAsia="en-AU"/>
        </w:rPr>
        <w:t xml:space="preserve">Other: </w:t>
      </w:r>
      <w:r w:rsidRPr="00A77D90">
        <w:rPr>
          <w:rFonts w:eastAsia="Times New Roman" w:cstheme="minorHAnsi"/>
          <w:lang w:val="en-US"/>
        </w:rPr>
        <w:object w:dxaOrig="225" w:dyaOrig="225" w14:anchorId="287E7092">
          <v:shape id="_x0000_i1304" type="#_x0000_t75" style="width:49.6pt;height:18.5pt" o:ole="">
            <v:imagedata r:id="rId32" o:title=""/>
          </v:shape>
          <w:control r:id="rId83" w:name="DefaultOcxName55" w:shapeid="_x0000_i1304"/>
        </w:object>
      </w:r>
    </w:p>
    <w:p w14:paraId="3DFB1D9D"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12. Tell us more, if you wish:</w:t>
      </w:r>
    </w:p>
    <w:p w14:paraId="65ABF423"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 </w:t>
      </w:r>
    </w:p>
    <w:p w14:paraId="10C1D655"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13. How often have you seen clients use BNPL products in a way that benefits them? </w:t>
      </w:r>
    </w:p>
    <w:p w14:paraId="774838C4" w14:textId="37C92EB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5B14CE9">
          <v:shape id="_x0000_i1307" type="#_x0000_t75" style="width:20.45pt;height:18.5pt" o:ole="">
            <v:imagedata r:id="rId25" o:title=""/>
          </v:shape>
          <w:control r:id="rId84" w:name="DefaultOcxName57" w:shapeid="_x0000_i1307"/>
        </w:object>
      </w:r>
      <w:r w:rsidRPr="00A77D90">
        <w:rPr>
          <w:rFonts w:eastAsia="Times New Roman" w:cstheme="minorHAnsi"/>
          <w:sz w:val="22"/>
          <w:lang w:eastAsia="en-AU"/>
        </w:rPr>
        <w:t>Never</w:t>
      </w:r>
    </w:p>
    <w:p w14:paraId="28B6B8C2" w14:textId="755DE04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DE03F24">
          <v:shape id="_x0000_i1310" type="#_x0000_t75" style="width:20.45pt;height:18.5pt" o:ole="">
            <v:imagedata r:id="rId25" o:title=""/>
          </v:shape>
          <w:control r:id="rId85" w:name="DefaultOcxName58" w:shapeid="_x0000_i1310"/>
        </w:object>
      </w:r>
      <w:r w:rsidRPr="00A77D90">
        <w:rPr>
          <w:rFonts w:eastAsia="Times New Roman" w:cstheme="minorHAnsi"/>
          <w:sz w:val="22"/>
          <w:lang w:eastAsia="en-AU"/>
        </w:rPr>
        <w:t>Occasionally</w:t>
      </w:r>
    </w:p>
    <w:p w14:paraId="04DAA034" w14:textId="1B4CFA0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EE32045">
          <v:shape id="_x0000_i1313" type="#_x0000_t75" style="width:20.45pt;height:18.5pt" o:ole="">
            <v:imagedata r:id="rId25" o:title=""/>
          </v:shape>
          <w:control r:id="rId86" w:name="DefaultOcxName59" w:shapeid="_x0000_i1313"/>
        </w:object>
      </w:r>
      <w:r w:rsidRPr="00A77D90">
        <w:rPr>
          <w:rFonts w:eastAsia="Times New Roman" w:cstheme="minorHAnsi"/>
          <w:sz w:val="22"/>
          <w:lang w:eastAsia="en-AU"/>
        </w:rPr>
        <w:t>Sometimes</w:t>
      </w:r>
    </w:p>
    <w:p w14:paraId="5240A76F" w14:textId="571D9159"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A59C8E3">
          <v:shape id="_x0000_i1316" type="#_x0000_t75" style="width:20.45pt;height:18.5pt" o:ole="">
            <v:imagedata r:id="rId25" o:title=""/>
          </v:shape>
          <w:control r:id="rId87" w:name="DefaultOcxName60" w:shapeid="_x0000_i1316"/>
        </w:object>
      </w:r>
      <w:r w:rsidRPr="00A77D90">
        <w:rPr>
          <w:rFonts w:eastAsia="Times New Roman" w:cstheme="minorHAnsi"/>
          <w:sz w:val="22"/>
          <w:lang w:eastAsia="en-AU"/>
        </w:rPr>
        <w:t>Most of the time</w:t>
      </w:r>
    </w:p>
    <w:p w14:paraId="15641E2D" w14:textId="4C509B1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17C93CB">
          <v:shape id="_x0000_i1319" type="#_x0000_t75" style="width:20.45pt;height:18.5pt" o:ole="">
            <v:imagedata r:id="rId25" o:title=""/>
          </v:shape>
          <w:control r:id="rId88" w:name="DefaultOcxName61" w:shapeid="_x0000_i1319"/>
        </w:object>
      </w:r>
      <w:r w:rsidRPr="00A77D90">
        <w:rPr>
          <w:rFonts w:eastAsia="Times New Roman" w:cstheme="minorHAnsi"/>
          <w:sz w:val="22"/>
          <w:lang w:eastAsia="en-AU"/>
        </w:rPr>
        <w:t>All of the time</w:t>
      </w:r>
    </w:p>
    <w:p w14:paraId="3CE65773" w14:textId="224DFC54"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33E98BA">
          <v:shape id="_x0000_i1322" type="#_x0000_t75" style="width:20.45pt;height:18.5pt" o:ole="">
            <v:imagedata r:id="rId25" o:title=""/>
          </v:shape>
          <w:control r:id="rId89" w:name="DefaultOcxName62" w:shapeid="_x0000_i1322"/>
        </w:object>
      </w:r>
      <w:r w:rsidRPr="00A77D90">
        <w:rPr>
          <w:rFonts w:eastAsia="Times New Roman" w:cstheme="minorHAnsi"/>
          <w:sz w:val="22"/>
          <w:lang w:eastAsia="en-AU"/>
        </w:rPr>
        <w:t>Don't know</w:t>
      </w:r>
    </w:p>
    <w:p w14:paraId="6BB5ABF8"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14. Tell us more, if you wish:</w:t>
      </w:r>
    </w:p>
    <w:p w14:paraId="33933717" w14:textId="77777777" w:rsidR="001702AE" w:rsidRPr="00A77D90" w:rsidRDefault="001702AE" w:rsidP="006B54C7">
      <w:pPr>
        <w:spacing w:after="0" w:line="216" w:lineRule="auto"/>
        <w:rPr>
          <w:rFonts w:eastAsia="Times New Roman" w:cstheme="minorHAnsi"/>
          <w:sz w:val="22"/>
          <w:lang w:eastAsia="en-AU"/>
        </w:rPr>
      </w:pPr>
    </w:p>
    <w:p w14:paraId="31B539B5"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15. Thinking about your clients with BNPL debts, how many have taken out another BNPL loan in order to make BNPL repayments?</w:t>
      </w:r>
    </w:p>
    <w:p w14:paraId="1073B21E" w14:textId="7D94915F"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3760A6F">
          <v:shape id="_x0000_i1325" type="#_x0000_t75" style="width:20.45pt;height:18.5pt" o:ole="">
            <v:imagedata r:id="rId25" o:title=""/>
          </v:shape>
          <w:control r:id="rId90" w:name="DefaultOcxName64" w:shapeid="_x0000_i1325"/>
        </w:object>
      </w:r>
      <w:r w:rsidRPr="00A77D90">
        <w:rPr>
          <w:rFonts w:eastAsia="Times New Roman" w:cstheme="minorHAnsi"/>
          <w:sz w:val="22"/>
          <w:lang w:eastAsia="en-AU"/>
        </w:rPr>
        <w:t>None</w:t>
      </w:r>
    </w:p>
    <w:p w14:paraId="4184E8D0" w14:textId="6C86667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27B2FA0">
          <v:shape id="_x0000_i1328" type="#_x0000_t75" style="width:20.45pt;height:18.5pt" o:ole="">
            <v:imagedata r:id="rId25" o:title=""/>
          </v:shape>
          <w:control r:id="rId91" w:name="DefaultOcxName65" w:shapeid="_x0000_i1328"/>
        </w:object>
      </w:r>
      <w:r w:rsidRPr="00A77D90">
        <w:rPr>
          <w:rFonts w:eastAsia="Times New Roman" w:cstheme="minorHAnsi"/>
          <w:sz w:val="22"/>
          <w:lang w:eastAsia="en-AU"/>
        </w:rPr>
        <w:t>A few</w:t>
      </w:r>
    </w:p>
    <w:p w14:paraId="22E44B15" w14:textId="026E960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lastRenderedPageBreak/>
        <w:object w:dxaOrig="225" w:dyaOrig="225" w14:anchorId="1ADEC4CD">
          <v:shape id="_x0000_i1331" type="#_x0000_t75" style="width:20.45pt;height:18.5pt" o:ole="">
            <v:imagedata r:id="rId25" o:title=""/>
          </v:shape>
          <w:control r:id="rId92" w:name="DefaultOcxName66" w:shapeid="_x0000_i1331"/>
        </w:object>
      </w:r>
      <w:r w:rsidRPr="00A77D90">
        <w:rPr>
          <w:rFonts w:eastAsia="Times New Roman" w:cstheme="minorHAnsi"/>
          <w:sz w:val="22"/>
          <w:lang w:eastAsia="en-AU"/>
        </w:rPr>
        <w:t>About half</w:t>
      </w:r>
    </w:p>
    <w:p w14:paraId="2B211E1A" w14:textId="29C7EC54"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F309E5F">
          <v:shape id="_x0000_i1334" type="#_x0000_t75" style="width:20.45pt;height:18.5pt" o:ole="">
            <v:imagedata r:id="rId25" o:title=""/>
          </v:shape>
          <w:control r:id="rId93" w:name="DefaultOcxName67" w:shapeid="_x0000_i1334"/>
        </w:object>
      </w:r>
      <w:r w:rsidRPr="00A77D90">
        <w:rPr>
          <w:rFonts w:eastAsia="Times New Roman" w:cstheme="minorHAnsi"/>
          <w:sz w:val="22"/>
          <w:lang w:eastAsia="en-AU"/>
        </w:rPr>
        <w:t>Most</w:t>
      </w:r>
    </w:p>
    <w:p w14:paraId="308C8B23" w14:textId="5EB7BB2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738A1AA">
          <v:shape id="_x0000_i1337" type="#_x0000_t75" style="width:20.45pt;height:18.5pt" o:ole="">
            <v:imagedata r:id="rId25" o:title=""/>
          </v:shape>
          <w:control r:id="rId94" w:name="DefaultOcxName68" w:shapeid="_x0000_i1337"/>
        </w:object>
      </w:r>
      <w:r w:rsidRPr="00A77D90">
        <w:rPr>
          <w:rFonts w:eastAsia="Times New Roman" w:cstheme="minorHAnsi"/>
          <w:sz w:val="22"/>
          <w:lang w:eastAsia="en-AU"/>
        </w:rPr>
        <w:t>All</w:t>
      </w:r>
    </w:p>
    <w:p w14:paraId="1AC28054" w14:textId="0287BDCB"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29EDA0A">
          <v:shape id="_x0000_i1340" type="#_x0000_t75" style="width:20.45pt;height:18.5pt" o:ole="">
            <v:imagedata r:id="rId25" o:title=""/>
          </v:shape>
          <w:control r:id="rId95" w:name="DefaultOcxName69" w:shapeid="_x0000_i1340"/>
        </w:object>
      </w:r>
      <w:r w:rsidRPr="00A77D90">
        <w:rPr>
          <w:rFonts w:eastAsia="Times New Roman" w:cstheme="minorHAnsi"/>
          <w:sz w:val="22"/>
          <w:lang w:eastAsia="en-AU"/>
        </w:rPr>
        <w:t>Don't know</w:t>
      </w:r>
    </w:p>
    <w:p w14:paraId="32C1DC5A" w14:textId="26A9E60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16. Tell us more, if you wish: </w:t>
      </w:r>
      <w:r w:rsidRPr="00A77D90">
        <w:rPr>
          <w:rFonts w:eastAsia="Times New Roman" w:cstheme="minorHAnsi"/>
          <w:lang w:val="en-US"/>
        </w:rPr>
        <w:object w:dxaOrig="225" w:dyaOrig="225" w14:anchorId="731F7EF5">
          <v:shape id="_x0000_i1344" type="#_x0000_t75" style="width:49.6pt;height:18.5pt" o:ole="">
            <v:imagedata r:id="rId32" o:title=""/>
          </v:shape>
          <w:control r:id="rId96" w:name="DefaultOcxName556" w:shapeid="_x0000_i1344"/>
        </w:object>
      </w:r>
    </w:p>
    <w:p w14:paraId="522F2742" w14:textId="77777777" w:rsidR="001702AE" w:rsidRPr="00A77D90" w:rsidRDefault="001702AE" w:rsidP="006B54C7">
      <w:pPr>
        <w:spacing w:line="216" w:lineRule="auto"/>
        <w:rPr>
          <w:rFonts w:eastAsia="Times New Roman" w:cstheme="minorHAnsi"/>
          <w:sz w:val="22"/>
          <w:lang w:eastAsia="en-AU"/>
        </w:rPr>
      </w:pPr>
    </w:p>
    <w:p w14:paraId="76020283"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17. Thinking about the hardship policies and practices of BNPL providers, how helpful are they overall?</w:t>
      </w:r>
    </w:p>
    <w:p w14:paraId="46275F3D" w14:textId="71EE203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A56683B">
          <v:shape id="_x0000_i1347" type="#_x0000_t75" style="width:20.45pt;height:18.5pt" o:ole="">
            <v:imagedata r:id="rId25" o:title=""/>
          </v:shape>
          <w:control r:id="rId97" w:name="DefaultOcxName71" w:shapeid="_x0000_i1347"/>
        </w:object>
      </w:r>
      <w:r w:rsidRPr="00A77D90">
        <w:rPr>
          <w:rFonts w:eastAsia="Times New Roman" w:cstheme="minorHAnsi"/>
          <w:sz w:val="22"/>
          <w:lang w:eastAsia="en-AU"/>
        </w:rPr>
        <w:t>Never</w:t>
      </w:r>
    </w:p>
    <w:p w14:paraId="6F7D868B" w14:textId="650A0D25"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FE95035">
          <v:shape id="_x0000_i1350" type="#_x0000_t75" style="width:20.45pt;height:18.5pt" o:ole="">
            <v:imagedata r:id="rId25" o:title=""/>
          </v:shape>
          <w:control r:id="rId98" w:name="DefaultOcxName72" w:shapeid="_x0000_i1350"/>
        </w:object>
      </w:r>
      <w:r w:rsidRPr="00A77D90">
        <w:rPr>
          <w:rFonts w:eastAsia="Times New Roman" w:cstheme="minorHAnsi"/>
          <w:sz w:val="22"/>
          <w:lang w:eastAsia="en-AU"/>
        </w:rPr>
        <w:t>Occasionally</w:t>
      </w:r>
    </w:p>
    <w:p w14:paraId="3D9F651A" w14:textId="33D4D40C"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4B70AF9">
          <v:shape id="_x0000_i1353" type="#_x0000_t75" style="width:20.45pt;height:18.5pt" o:ole="">
            <v:imagedata r:id="rId25" o:title=""/>
          </v:shape>
          <w:control r:id="rId99" w:name="DefaultOcxName73" w:shapeid="_x0000_i1353"/>
        </w:object>
      </w:r>
      <w:r w:rsidRPr="00A77D90">
        <w:rPr>
          <w:rFonts w:eastAsia="Times New Roman" w:cstheme="minorHAnsi"/>
          <w:sz w:val="22"/>
          <w:lang w:eastAsia="en-AU"/>
        </w:rPr>
        <w:t>Sometimes</w:t>
      </w:r>
    </w:p>
    <w:p w14:paraId="26F671C9" w14:textId="53E5584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D2CC6E6">
          <v:shape id="_x0000_i1356" type="#_x0000_t75" style="width:20.45pt;height:18.5pt" o:ole="">
            <v:imagedata r:id="rId25" o:title=""/>
          </v:shape>
          <w:control r:id="rId100" w:name="DefaultOcxName74" w:shapeid="_x0000_i1356"/>
        </w:object>
      </w:r>
      <w:r w:rsidRPr="00A77D90">
        <w:rPr>
          <w:rFonts w:eastAsia="Times New Roman" w:cstheme="minorHAnsi"/>
          <w:sz w:val="22"/>
          <w:lang w:eastAsia="en-AU"/>
        </w:rPr>
        <w:t>Mostly</w:t>
      </w:r>
    </w:p>
    <w:p w14:paraId="5777EF9B" w14:textId="560400BB"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9D75A97">
          <v:shape id="_x0000_i1359" type="#_x0000_t75" style="width:20.45pt;height:18.5pt" o:ole="">
            <v:imagedata r:id="rId25" o:title=""/>
          </v:shape>
          <w:control r:id="rId101" w:name="DefaultOcxName75" w:shapeid="_x0000_i1359"/>
        </w:object>
      </w:r>
      <w:r w:rsidRPr="00A77D90">
        <w:rPr>
          <w:rFonts w:eastAsia="Times New Roman" w:cstheme="minorHAnsi"/>
          <w:sz w:val="22"/>
          <w:lang w:eastAsia="en-AU"/>
        </w:rPr>
        <w:t>Always</w:t>
      </w:r>
    </w:p>
    <w:p w14:paraId="2F2FE101" w14:textId="340B60A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5BB4892">
          <v:shape id="_x0000_i1362" type="#_x0000_t75" style="width:20.45pt;height:18.5pt" o:ole="">
            <v:imagedata r:id="rId25" o:title=""/>
          </v:shape>
          <w:control r:id="rId102" w:name="DefaultOcxName76" w:shapeid="_x0000_i1362"/>
        </w:object>
      </w:r>
      <w:r w:rsidRPr="00A77D90">
        <w:rPr>
          <w:rFonts w:eastAsia="Times New Roman" w:cstheme="minorHAnsi"/>
          <w:sz w:val="22"/>
          <w:lang w:eastAsia="en-AU"/>
        </w:rPr>
        <w:t>Don't know</w:t>
      </w:r>
    </w:p>
    <w:p w14:paraId="5AD7B914" w14:textId="438464DA"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18. Tell us more, if you wish:  </w:t>
      </w:r>
      <w:r w:rsidRPr="00A77D90">
        <w:rPr>
          <w:rFonts w:eastAsia="Times New Roman" w:cstheme="minorHAnsi"/>
          <w:lang w:val="en-US"/>
        </w:rPr>
        <w:object w:dxaOrig="225" w:dyaOrig="225" w14:anchorId="7CDBCA39">
          <v:shape id="_x0000_i1366" type="#_x0000_t75" style="width:49.6pt;height:18.5pt" o:ole="">
            <v:imagedata r:id="rId32" o:title=""/>
          </v:shape>
          <w:control r:id="rId103" w:name="DefaultOcxName551" w:shapeid="_x0000_i1366"/>
        </w:object>
      </w:r>
    </w:p>
    <w:p w14:paraId="20E42CAD" w14:textId="77777777" w:rsidR="001702AE" w:rsidRPr="00A77D90" w:rsidRDefault="001702AE" w:rsidP="006B54C7">
      <w:pPr>
        <w:spacing w:after="0" w:line="216" w:lineRule="auto"/>
        <w:rPr>
          <w:rFonts w:eastAsia="Times New Roman" w:cstheme="minorHAnsi"/>
          <w:sz w:val="22"/>
          <w:lang w:eastAsia="en-AU"/>
        </w:rPr>
      </w:pPr>
    </w:p>
    <w:p w14:paraId="6C92BEB7"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19. Thinking about your clients with BNPL debts, how often have you worked with a client who was </w:t>
      </w:r>
      <w:r w:rsidRPr="00A77D90">
        <w:rPr>
          <w:rFonts w:eastAsia="Times New Roman" w:cstheme="minorHAnsi"/>
          <w:b/>
          <w:bCs/>
          <w:sz w:val="22"/>
          <w:lang w:eastAsia="en-AU"/>
        </w:rPr>
        <w:t>coerced</w:t>
      </w:r>
      <w:r w:rsidRPr="00A77D90">
        <w:rPr>
          <w:rFonts w:eastAsia="Times New Roman" w:cstheme="minorHAnsi"/>
          <w:sz w:val="22"/>
          <w:lang w:eastAsia="en-AU"/>
        </w:rPr>
        <w:t xml:space="preserve"> into taking out a BNPL debt, or a BNPL debt was taken out </w:t>
      </w:r>
      <w:r w:rsidRPr="00A77D90">
        <w:rPr>
          <w:rFonts w:eastAsia="Times New Roman" w:cstheme="minorHAnsi"/>
          <w:b/>
          <w:bCs/>
          <w:sz w:val="22"/>
          <w:lang w:eastAsia="en-AU"/>
        </w:rPr>
        <w:t>without their knowledge</w:t>
      </w:r>
      <w:r w:rsidRPr="00A77D90">
        <w:rPr>
          <w:rFonts w:eastAsia="Times New Roman" w:cstheme="minorHAnsi"/>
          <w:sz w:val="22"/>
          <w:lang w:eastAsia="en-AU"/>
        </w:rPr>
        <w:t>, by their intimate partner or former intimate partner?</w:t>
      </w:r>
    </w:p>
    <w:p w14:paraId="54AB5276" w14:textId="7C98A876"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16E9EDF6">
          <v:shape id="_x0000_i1369" type="#_x0000_t75" style="width:20.45pt;height:18.5pt" o:ole="">
            <v:imagedata r:id="rId25" o:title=""/>
          </v:shape>
          <w:control r:id="rId104" w:name="DefaultOcxName78" w:shapeid="_x0000_i1369"/>
        </w:object>
      </w:r>
      <w:r w:rsidRPr="00A77D90">
        <w:rPr>
          <w:rFonts w:eastAsia="Times New Roman" w:cstheme="minorHAnsi"/>
          <w:sz w:val="22"/>
          <w:lang w:eastAsia="en-AU"/>
        </w:rPr>
        <w:t>Never</w:t>
      </w:r>
    </w:p>
    <w:p w14:paraId="4B876CEE" w14:textId="3A22D9F1"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75AB695">
          <v:shape id="_x0000_i1372" type="#_x0000_t75" style="width:20.45pt;height:18.5pt" o:ole="">
            <v:imagedata r:id="rId25" o:title=""/>
          </v:shape>
          <w:control r:id="rId105" w:name="DefaultOcxName79" w:shapeid="_x0000_i1372"/>
        </w:object>
      </w:r>
      <w:r w:rsidRPr="00A77D90">
        <w:rPr>
          <w:rFonts w:eastAsia="Times New Roman" w:cstheme="minorHAnsi"/>
          <w:sz w:val="22"/>
          <w:lang w:eastAsia="en-AU"/>
        </w:rPr>
        <w:t>Very rarely</w:t>
      </w:r>
    </w:p>
    <w:p w14:paraId="256ACE2A" w14:textId="2BC3F4A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E1B3F27">
          <v:shape id="_x0000_i1375" type="#_x0000_t75" style="width:20.45pt;height:18.5pt" o:ole="">
            <v:imagedata r:id="rId25" o:title=""/>
          </v:shape>
          <w:control r:id="rId106" w:name="DefaultOcxName80" w:shapeid="_x0000_i1375"/>
        </w:object>
      </w:r>
      <w:r w:rsidRPr="00A77D90">
        <w:rPr>
          <w:rFonts w:eastAsia="Times New Roman" w:cstheme="minorHAnsi"/>
          <w:sz w:val="22"/>
          <w:lang w:eastAsia="en-AU"/>
        </w:rPr>
        <w:t>Sometimes</w:t>
      </w:r>
    </w:p>
    <w:p w14:paraId="0D73E3B9" w14:textId="3AE72778"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652B0E1">
          <v:shape id="_x0000_i1378" type="#_x0000_t75" style="width:20.45pt;height:18.5pt" o:ole="">
            <v:imagedata r:id="rId25" o:title=""/>
          </v:shape>
          <w:control r:id="rId107" w:name="DefaultOcxName81" w:shapeid="_x0000_i1378"/>
        </w:object>
      </w:r>
      <w:r w:rsidRPr="00A77D90">
        <w:rPr>
          <w:rFonts w:eastAsia="Times New Roman" w:cstheme="minorHAnsi"/>
          <w:sz w:val="22"/>
          <w:lang w:eastAsia="en-AU"/>
        </w:rPr>
        <w:t>Often</w:t>
      </w:r>
    </w:p>
    <w:p w14:paraId="31F3E81B" w14:textId="5448010F"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3D588F4A">
          <v:shape id="_x0000_i1381" type="#_x0000_t75" style="width:20.45pt;height:18.5pt" o:ole="">
            <v:imagedata r:id="rId25" o:title=""/>
          </v:shape>
          <w:control r:id="rId108" w:name="DefaultOcxName82" w:shapeid="_x0000_i1381"/>
        </w:object>
      </w:r>
      <w:r w:rsidRPr="00A77D90">
        <w:rPr>
          <w:rFonts w:eastAsia="Times New Roman" w:cstheme="minorHAnsi"/>
          <w:sz w:val="22"/>
          <w:lang w:eastAsia="en-AU"/>
        </w:rPr>
        <w:t>Most of the time</w:t>
      </w:r>
    </w:p>
    <w:p w14:paraId="751C1A9D" w14:textId="6287F32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97DE4C6">
          <v:shape id="_x0000_i1384" type="#_x0000_t75" style="width:20.45pt;height:18.5pt" o:ole="">
            <v:imagedata r:id="rId25" o:title=""/>
          </v:shape>
          <w:control r:id="rId109" w:name="DefaultOcxName83" w:shapeid="_x0000_i1384"/>
        </w:object>
      </w:r>
      <w:r w:rsidRPr="00A77D90">
        <w:rPr>
          <w:rFonts w:eastAsia="Times New Roman" w:cstheme="minorHAnsi"/>
          <w:sz w:val="22"/>
          <w:lang w:eastAsia="en-AU"/>
        </w:rPr>
        <w:t>Don't know</w:t>
      </w:r>
    </w:p>
    <w:p w14:paraId="5235EBD3" w14:textId="7C6AB712"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20. Tell us more, if you wish:  </w:t>
      </w:r>
      <w:r w:rsidRPr="00A77D90">
        <w:rPr>
          <w:rFonts w:eastAsia="Times New Roman" w:cstheme="minorHAnsi"/>
          <w:lang w:val="en-US"/>
        </w:rPr>
        <w:object w:dxaOrig="225" w:dyaOrig="225" w14:anchorId="3DBE4012">
          <v:shape id="_x0000_i1388" type="#_x0000_t75" style="width:49.6pt;height:18.5pt" o:ole="">
            <v:imagedata r:id="rId32" o:title=""/>
          </v:shape>
          <w:control r:id="rId110" w:name="DefaultOcxName552" w:shapeid="_x0000_i1388"/>
        </w:object>
      </w:r>
    </w:p>
    <w:p w14:paraId="79A4E1FA" w14:textId="77777777" w:rsidR="001702AE" w:rsidRPr="00A77D90" w:rsidRDefault="001702AE" w:rsidP="006B54C7">
      <w:pPr>
        <w:spacing w:after="0" w:line="216" w:lineRule="auto"/>
        <w:rPr>
          <w:rFonts w:eastAsia="Times New Roman" w:cstheme="minorHAnsi"/>
          <w:sz w:val="22"/>
          <w:lang w:eastAsia="en-AU"/>
        </w:rPr>
      </w:pPr>
    </w:p>
    <w:p w14:paraId="457E3C57" w14:textId="77777777" w:rsidR="001702AE" w:rsidRPr="00A77D90" w:rsidRDefault="001702AE" w:rsidP="006B54C7">
      <w:pPr>
        <w:spacing w:line="216" w:lineRule="auto"/>
        <w:rPr>
          <w:rFonts w:eastAsia="Times New Roman" w:cstheme="minorHAnsi"/>
          <w:sz w:val="22"/>
          <w:lang w:eastAsia="en-AU"/>
        </w:rPr>
      </w:pPr>
      <w:r w:rsidRPr="00A77D90">
        <w:rPr>
          <w:rFonts w:eastAsia="Times New Roman" w:cstheme="minorHAnsi"/>
          <w:sz w:val="22"/>
          <w:lang w:eastAsia="en-AU"/>
        </w:rPr>
        <w:t>21. How many of your clients are using wage advance products?</w:t>
      </w:r>
    </w:p>
    <w:p w14:paraId="16DDADA6" w14:textId="19177E29" w:rsidR="001702AE" w:rsidRPr="00A77D90" w:rsidRDefault="001702AE" w:rsidP="006B54C7">
      <w:pPr>
        <w:spacing w:after="0" w:line="216" w:lineRule="auto"/>
        <w:rPr>
          <w:rFonts w:eastAsia="Times New Roman" w:cstheme="minorHAnsi"/>
          <w:i/>
          <w:sz w:val="22"/>
          <w:lang w:eastAsia="en-AU"/>
        </w:rPr>
      </w:pPr>
      <w:r w:rsidRPr="00A77D90">
        <w:rPr>
          <w:rFonts w:eastAsia="Times New Roman" w:cstheme="minorHAnsi"/>
          <w:i/>
          <w:sz w:val="22"/>
          <w:lang w:eastAsia="en-AU"/>
        </w:rPr>
        <w:t xml:space="preserve">Wage advance or “pay on demand” products (e.g., </w:t>
      </w:r>
      <w:r w:rsidR="00693F70">
        <w:rPr>
          <w:rFonts w:eastAsia="Times New Roman" w:cstheme="minorHAnsi"/>
          <w:i/>
          <w:sz w:val="22"/>
          <w:lang w:eastAsia="en-AU"/>
        </w:rPr>
        <w:t>[brand name]</w:t>
      </w:r>
      <w:r w:rsidRPr="00A77D90">
        <w:rPr>
          <w:rFonts w:eastAsia="Times New Roman" w:cstheme="minorHAnsi"/>
          <w:i/>
          <w:sz w:val="22"/>
          <w:lang w:eastAsia="en-AU"/>
        </w:rPr>
        <w:t>) allow consumers to take out a loan for a proportion of their next pay for a fee and then repay the loan in instalments over future pay cycles.</w:t>
      </w:r>
    </w:p>
    <w:p w14:paraId="515B7D30" w14:textId="76B46FAE"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46ACB899">
          <v:shape id="_x0000_i1391" type="#_x0000_t75" style="width:20.45pt;height:18.5pt" o:ole="">
            <v:imagedata r:id="rId25" o:title=""/>
          </v:shape>
          <w:control r:id="rId111" w:name="DefaultOcxName85" w:shapeid="_x0000_i1391"/>
        </w:object>
      </w:r>
      <w:r w:rsidRPr="00A77D90">
        <w:rPr>
          <w:rFonts w:eastAsia="Times New Roman" w:cstheme="minorHAnsi"/>
          <w:sz w:val="22"/>
          <w:lang w:eastAsia="en-AU"/>
        </w:rPr>
        <w:t>None</w:t>
      </w:r>
    </w:p>
    <w:p w14:paraId="3DDE8A02" w14:textId="2AEDA2A5"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6B32990D">
          <v:shape id="_x0000_i1394" type="#_x0000_t75" style="width:20.45pt;height:18.5pt" o:ole="">
            <v:imagedata r:id="rId25" o:title=""/>
          </v:shape>
          <w:control r:id="rId112" w:name="DefaultOcxName86" w:shapeid="_x0000_i1394"/>
        </w:object>
      </w:r>
      <w:r w:rsidRPr="00A77D90">
        <w:rPr>
          <w:rFonts w:eastAsia="Times New Roman" w:cstheme="minorHAnsi"/>
          <w:sz w:val="22"/>
          <w:lang w:eastAsia="en-AU"/>
        </w:rPr>
        <w:t>A few</w:t>
      </w:r>
    </w:p>
    <w:p w14:paraId="1D6133F6" w14:textId="4FC45461"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F266EE7">
          <v:shape id="_x0000_i1397" type="#_x0000_t75" style="width:20.45pt;height:18.5pt" o:ole="">
            <v:imagedata r:id="rId25" o:title=""/>
          </v:shape>
          <w:control r:id="rId113" w:name="DefaultOcxName87" w:shapeid="_x0000_i1397"/>
        </w:object>
      </w:r>
      <w:r w:rsidRPr="00A77D90">
        <w:rPr>
          <w:rFonts w:eastAsia="Times New Roman" w:cstheme="minorHAnsi"/>
          <w:sz w:val="22"/>
          <w:lang w:eastAsia="en-AU"/>
        </w:rPr>
        <w:t>About half</w:t>
      </w:r>
    </w:p>
    <w:p w14:paraId="351337EA" w14:textId="7BCB6325"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lastRenderedPageBreak/>
        <w:object w:dxaOrig="225" w:dyaOrig="225" w14:anchorId="50794C0A">
          <v:shape id="_x0000_i1400" type="#_x0000_t75" style="width:20.45pt;height:18.5pt" o:ole="">
            <v:imagedata r:id="rId25" o:title=""/>
          </v:shape>
          <w:control r:id="rId114" w:name="DefaultOcxName88" w:shapeid="_x0000_i1400"/>
        </w:object>
      </w:r>
      <w:r w:rsidRPr="00A77D90">
        <w:rPr>
          <w:rFonts w:eastAsia="Times New Roman" w:cstheme="minorHAnsi"/>
          <w:sz w:val="22"/>
          <w:lang w:eastAsia="en-AU"/>
        </w:rPr>
        <w:t>Most</w:t>
      </w:r>
    </w:p>
    <w:p w14:paraId="3D54D3CA" w14:textId="6710AE63"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866F758">
          <v:shape id="_x0000_i1403" type="#_x0000_t75" style="width:20.45pt;height:18.5pt" o:ole="">
            <v:imagedata r:id="rId25" o:title=""/>
          </v:shape>
          <w:control r:id="rId115" w:name="DefaultOcxName89" w:shapeid="_x0000_i1403"/>
        </w:object>
      </w:r>
      <w:r w:rsidRPr="00A77D90">
        <w:rPr>
          <w:rFonts w:eastAsia="Times New Roman" w:cstheme="minorHAnsi"/>
          <w:sz w:val="22"/>
          <w:lang w:eastAsia="en-AU"/>
        </w:rPr>
        <w:t>All</w:t>
      </w:r>
    </w:p>
    <w:p w14:paraId="7A4DC6AB" w14:textId="78AECE11"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012BD166">
          <v:shape id="_x0000_i1406" type="#_x0000_t75" style="width:20.45pt;height:18.5pt" o:ole="">
            <v:imagedata r:id="rId25" o:title=""/>
          </v:shape>
          <w:control r:id="rId116" w:name="DefaultOcxName90" w:shapeid="_x0000_i1406"/>
        </w:object>
      </w:r>
      <w:r w:rsidRPr="00A77D90">
        <w:rPr>
          <w:rFonts w:eastAsia="Times New Roman" w:cstheme="minorHAnsi"/>
          <w:sz w:val="22"/>
          <w:lang w:eastAsia="en-AU"/>
        </w:rPr>
        <w:t>Don't know</w:t>
      </w:r>
    </w:p>
    <w:p w14:paraId="14CB899B" w14:textId="43BD57C0"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22. Tell us more, if you wish:  </w:t>
      </w:r>
      <w:r w:rsidRPr="00A77D90">
        <w:rPr>
          <w:rFonts w:eastAsia="Times New Roman" w:cstheme="minorHAnsi"/>
          <w:lang w:val="en-US"/>
        </w:rPr>
        <w:object w:dxaOrig="225" w:dyaOrig="225" w14:anchorId="090CF526">
          <v:shape id="_x0000_i1410" type="#_x0000_t75" style="width:49.6pt;height:18.5pt" o:ole="">
            <v:imagedata r:id="rId32" o:title=""/>
          </v:shape>
          <w:control r:id="rId117" w:name="DefaultOcxName553" w:shapeid="_x0000_i1410"/>
        </w:object>
      </w:r>
    </w:p>
    <w:p w14:paraId="5F6ABFF8" w14:textId="77777777" w:rsidR="001702AE" w:rsidRPr="00A77D90" w:rsidRDefault="001702AE" w:rsidP="006B54C7">
      <w:pPr>
        <w:spacing w:after="0" w:line="216" w:lineRule="auto"/>
        <w:rPr>
          <w:rFonts w:eastAsia="Times New Roman" w:cstheme="minorHAnsi"/>
          <w:sz w:val="22"/>
          <w:lang w:eastAsia="en-AU"/>
        </w:rPr>
      </w:pPr>
    </w:p>
    <w:p w14:paraId="1D5383EF" w14:textId="77777777" w:rsidR="001702AE" w:rsidRPr="00A77D90" w:rsidRDefault="001702AE" w:rsidP="006B54C7">
      <w:pPr>
        <w:spacing w:line="216" w:lineRule="auto"/>
        <w:rPr>
          <w:rFonts w:eastAsia="Times New Roman" w:cstheme="minorHAnsi"/>
          <w:sz w:val="22"/>
          <w:lang w:eastAsia="en-AU"/>
        </w:rPr>
      </w:pPr>
      <w:r w:rsidRPr="00A77D90">
        <w:rPr>
          <w:rFonts w:eastAsia="Times New Roman" w:cstheme="minorHAnsi"/>
          <w:sz w:val="22"/>
          <w:lang w:eastAsia="en-AU"/>
        </w:rPr>
        <w:t>23. Do you think BNPL products need to be better regulated in Australia?</w:t>
      </w:r>
    </w:p>
    <w:p w14:paraId="27F91E73" w14:textId="23D1241E"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51256408">
          <v:shape id="_x0000_i1413" type="#_x0000_t75" style="width:20.45pt;height:18.5pt" o:ole="">
            <v:imagedata r:id="rId25" o:title=""/>
          </v:shape>
          <w:control r:id="rId118" w:name="DefaultOcxName92" w:shapeid="_x0000_i1413"/>
        </w:object>
      </w:r>
      <w:r w:rsidRPr="00A77D90">
        <w:rPr>
          <w:rFonts w:eastAsia="Times New Roman" w:cstheme="minorHAnsi"/>
          <w:sz w:val="22"/>
          <w:lang w:eastAsia="en-AU"/>
        </w:rPr>
        <w:t>Yes</w:t>
      </w:r>
    </w:p>
    <w:p w14:paraId="1B11E537" w14:textId="27A75123"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227B7936">
          <v:shape id="_x0000_i1416" type="#_x0000_t75" style="width:20.45pt;height:18.5pt" o:ole="">
            <v:imagedata r:id="rId25" o:title=""/>
          </v:shape>
          <w:control r:id="rId119" w:name="DefaultOcxName93" w:shapeid="_x0000_i1416"/>
        </w:object>
      </w:r>
      <w:r w:rsidRPr="00A77D90">
        <w:rPr>
          <w:rFonts w:eastAsia="Times New Roman" w:cstheme="minorHAnsi"/>
          <w:sz w:val="22"/>
        </w:rPr>
        <w:t>No</w:t>
      </w:r>
    </w:p>
    <w:p w14:paraId="189334BE" w14:textId="0F4CFFBB"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lang w:val="en-US"/>
        </w:rPr>
        <w:object w:dxaOrig="225" w:dyaOrig="225" w14:anchorId="75E5D6CB">
          <v:shape id="_x0000_i1419" type="#_x0000_t75" style="width:20.45pt;height:18.5pt" o:ole="">
            <v:imagedata r:id="rId25" o:title=""/>
          </v:shape>
          <w:control r:id="rId120" w:name="DefaultOcxName94" w:shapeid="_x0000_i1419"/>
        </w:object>
      </w:r>
      <w:r w:rsidRPr="00A77D90">
        <w:rPr>
          <w:rFonts w:eastAsia="Times New Roman" w:cstheme="minorHAnsi"/>
          <w:sz w:val="22"/>
          <w:lang w:eastAsia="en-AU"/>
        </w:rPr>
        <w:t>Maybe</w:t>
      </w:r>
    </w:p>
    <w:p w14:paraId="625B149E" w14:textId="271B2E81" w:rsidR="001702AE" w:rsidRPr="00A77D90" w:rsidRDefault="001702AE" w:rsidP="006B54C7">
      <w:pPr>
        <w:spacing w:after="0" w:line="216" w:lineRule="auto"/>
        <w:rPr>
          <w:rFonts w:eastAsiaTheme="majorEastAsia" w:cstheme="minorHAnsi"/>
          <w:b/>
          <w:color w:val="2F5496" w:themeColor="accent1" w:themeShade="BF"/>
          <w:sz w:val="22"/>
        </w:rPr>
      </w:pPr>
      <w:r w:rsidRPr="00A77D90">
        <w:rPr>
          <w:rFonts w:eastAsia="Times New Roman" w:cstheme="minorHAnsi"/>
          <w:lang w:val="en-US"/>
        </w:rPr>
        <w:object w:dxaOrig="225" w:dyaOrig="225" w14:anchorId="0D6E2335">
          <v:shape id="_x0000_i1422" type="#_x0000_t75" style="width:20.45pt;height:18.5pt" o:ole="">
            <v:imagedata r:id="rId25" o:title=""/>
          </v:shape>
          <w:control r:id="rId121" w:name="DefaultOcxName95" w:shapeid="_x0000_i1422"/>
        </w:object>
      </w:r>
      <w:r w:rsidRPr="00A77D90">
        <w:rPr>
          <w:rFonts w:eastAsia="Times New Roman" w:cstheme="minorHAnsi"/>
          <w:sz w:val="22"/>
          <w:lang w:eastAsia="en-AU"/>
        </w:rPr>
        <w:t>Don't know</w:t>
      </w:r>
    </w:p>
    <w:p w14:paraId="5B32E90F" w14:textId="0B639A63" w:rsidR="001702AE" w:rsidRPr="00A77D90" w:rsidRDefault="001702AE" w:rsidP="006B54C7">
      <w:pPr>
        <w:spacing w:after="0" w:line="216" w:lineRule="auto"/>
        <w:rPr>
          <w:rFonts w:eastAsia="Times New Roman" w:cstheme="minorHAnsi"/>
          <w:sz w:val="22"/>
        </w:rPr>
      </w:pPr>
      <w:r w:rsidRPr="00A77D90">
        <w:rPr>
          <w:rFonts w:cstheme="minorHAnsi"/>
          <w:sz w:val="22"/>
        </w:rPr>
        <w:t xml:space="preserve">24. </w:t>
      </w:r>
      <w:r w:rsidRPr="00A77D90">
        <w:rPr>
          <w:rFonts w:eastAsia="Times New Roman" w:cstheme="minorHAnsi"/>
          <w:sz w:val="22"/>
          <w:lang w:eastAsia="en-AU"/>
        </w:rPr>
        <w:t xml:space="preserve">Tell us more, if you wish:  </w:t>
      </w:r>
      <w:r w:rsidRPr="00A77D90">
        <w:rPr>
          <w:rFonts w:eastAsia="Times New Roman" w:cstheme="minorHAnsi"/>
          <w:lang w:val="en-US"/>
        </w:rPr>
        <w:object w:dxaOrig="225" w:dyaOrig="225" w14:anchorId="55496CAA">
          <v:shape id="_x0000_i1426" type="#_x0000_t75" style="width:49.6pt;height:18.5pt" o:ole="">
            <v:imagedata r:id="rId32" o:title=""/>
          </v:shape>
          <w:control r:id="rId122" w:name="DefaultOcxName5531" w:shapeid="_x0000_i1426"/>
        </w:object>
      </w:r>
    </w:p>
    <w:p w14:paraId="4B23C15C" w14:textId="77777777" w:rsidR="001702AE" w:rsidRPr="00A77D90" w:rsidRDefault="001702AE" w:rsidP="006B54C7">
      <w:pPr>
        <w:spacing w:after="0" w:line="216" w:lineRule="auto"/>
        <w:rPr>
          <w:rFonts w:eastAsia="Times New Roman" w:cstheme="minorHAnsi"/>
          <w:sz w:val="22"/>
          <w:lang w:eastAsia="en-AU"/>
        </w:rPr>
      </w:pPr>
    </w:p>
    <w:p w14:paraId="35BDC941" w14:textId="77777777" w:rsidR="001702AE" w:rsidRPr="00A77D90" w:rsidRDefault="001702AE" w:rsidP="006B54C7">
      <w:pPr>
        <w:spacing w:after="0" w:line="216" w:lineRule="auto"/>
        <w:rPr>
          <w:rFonts w:eastAsia="Times New Roman" w:cstheme="minorHAnsi"/>
          <w:sz w:val="22"/>
          <w:lang w:eastAsia="en-AU"/>
        </w:rPr>
      </w:pPr>
      <w:r w:rsidRPr="00A77D90">
        <w:rPr>
          <w:rFonts w:eastAsia="Times New Roman" w:cstheme="minorHAnsi"/>
          <w:sz w:val="22"/>
          <w:lang w:eastAsia="en-AU"/>
        </w:rPr>
        <w:t xml:space="preserve">25. </w:t>
      </w:r>
      <w:r w:rsidRPr="00A77D90">
        <w:rPr>
          <w:rFonts w:cstheme="minorHAnsi"/>
          <w:color w:val="000000"/>
          <w:sz w:val="22"/>
          <w:shd w:val="clear" w:color="auto" w:fill="FFFFFF"/>
        </w:rPr>
        <w:t>How should BNPL products be regulated in Australia?</w:t>
      </w:r>
    </w:p>
    <w:p w14:paraId="4CDE8C7E" w14:textId="77777777" w:rsidR="001702AE" w:rsidRPr="00A77D90" w:rsidRDefault="001702AE" w:rsidP="006B54C7">
      <w:pPr>
        <w:spacing w:after="0" w:line="216" w:lineRule="auto"/>
        <w:rPr>
          <w:rFonts w:eastAsia="Times New Roman" w:cstheme="minorHAnsi"/>
          <w:color w:val="000000"/>
          <w:sz w:val="22"/>
          <w:lang w:eastAsia="en-AU"/>
        </w:rPr>
      </w:pPr>
      <w:r w:rsidRPr="00A77D90">
        <w:rPr>
          <w:rFonts w:eastAsia="Times New Roman" w:cstheme="minorHAnsi"/>
          <w:color w:val="000000"/>
          <w:sz w:val="22"/>
          <w:lang w:eastAsia="en-AU"/>
        </w:rPr>
        <w:t>Australia's Treasury is currently considering how to better regulate BNPL in Australia and has proposed three options, from low (Option 1) to moderate (Option 2) to high (Option 3):</w:t>
      </w:r>
    </w:p>
    <w:p w14:paraId="10C09B5D" w14:textId="77777777" w:rsidR="001702AE" w:rsidRPr="00A77D90" w:rsidRDefault="001702AE" w:rsidP="006B54C7">
      <w:pPr>
        <w:widowControl/>
        <w:numPr>
          <w:ilvl w:val="0"/>
          <w:numId w:val="4"/>
        </w:numPr>
        <w:autoSpaceDE/>
        <w:autoSpaceDN/>
        <w:spacing w:before="100" w:beforeAutospacing="1" w:after="0" w:line="216" w:lineRule="auto"/>
        <w:ind w:left="714" w:hanging="357"/>
        <w:rPr>
          <w:rFonts w:eastAsia="Times New Roman" w:cstheme="minorHAnsi"/>
          <w:color w:val="000000"/>
          <w:sz w:val="22"/>
          <w:lang w:eastAsia="en-AU"/>
        </w:rPr>
      </w:pPr>
      <w:r w:rsidRPr="00A77D90">
        <w:rPr>
          <w:rFonts w:eastAsia="Times New Roman" w:cstheme="minorHAnsi"/>
          <w:b/>
          <w:bCs/>
          <w:color w:val="000000"/>
          <w:sz w:val="22"/>
          <w:lang w:eastAsia="en-AU"/>
        </w:rPr>
        <w:t>Low</w:t>
      </w:r>
      <w:r w:rsidRPr="00A77D90">
        <w:rPr>
          <w:rFonts w:eastAsia="Times New Roman" w:cstheme="minorHAnsi"/>
          <w:color w:val="000000"/>
          <w:sz w:val="22"/>
          <w:lang w:eastAsia="en-AU"/>
        </w:rPr>
        <w:t> – This option proposes a co-regulation approach, whereby the Government would introduce a modified affordability obligation under the Credit Act for BNPL providers, without imposing a requirement to hold and maintain an Australian credit licence; and the Australian Finance Industry Association (AFIA) would work with industry to strengthen the BNPL Industry Code, with certain provisions enforceable by ASIC.</w:t>
      </w:r>
    </w:p>
    <w:p w14:paraId="4814ED3E" w14:textId="77777777" w:rsidR="001702AE" w:rsidRPr="00A77D90" w:rsidRDefault="001702AE" w:rsidP="006B54C7">
      <w:pPr>
        <w:widowControl/>
        <w:numPr>
          <w:ilvl w:val="0"/>
          <w:numId w:val="5"/>
        </w:numPr>
        <w:autoSpaceDE/>
        <w:autoSpaceDN/>
        <w:spacing w:after="0" w:line="216" w:lineRule="auto"/>
        <w:ind w:left="714" w:hanging="357"/>
        <w:rPr>
          <w:rFonts w:eastAsia="Times New Roman" w:cstheme="minorHAnsi"/>
          <w:color w:val="000000"/>
          <w:sz w:val="22"/>
          <w:lang w:eastAsia="en-AU"/>
        </w:rPr>
      </w:pPr>
      <w:r w:rsidRPr="00A77D90">
        <w:rPr>
          <w:rFonts w:eastAsia="Times New Roman" w:cstheme="minorHAnsi"/>
          <w:b/>
          <w:bCs/>
          <w:color w:val="000000"/>
          <w:sz w:val="22"/>
          <w:lang w:eastAsia="en-AU"/>
        </w:rPr>
        <w:t>Moderate </w:t>
      </w:r>
      <w:r w:rsidRPr="00A77D90">
        <w:rPr>
          <w:rFonts w:eastAsia="Times New Roman" w:cstheme="minorHAnsi"/>
          <w:color w:val="000000"/>
          <w:sz w:val="22"/>
          <w:lang w:eastAsia="en-AU"/>
        </w:rPr>
        <w:t>– This option proposes to apply some elements of the Credit Act to BNPL providers, including a modified licensing regime, with a reprieve from some elements of the responsible lending regime (such as the need to verify a customer's financial documentation and check that the BNPL product aligns with the customer's requirements and objectives). This option also proposes to strengthen the BNPL Industry Code as per Option 1.</w:t>
      </w:r>
    </w:p>
    <w:p w14:paraId="65DE2EAD" w14:textId="77777777" w:rsidR="001702AE" w:rsidRPr="00A77D90" w:rsidRDefault="001702AE" w:rsidP="006B54C7">
      <w:pPr>
        <w:widowControl/>
        <w:numPr>
          <w:ilvl w:val="0"/>
          <w:numId w:val="6"/>
        </w:numPr>
        <w:autoSpaceDE/>
        <w:autoSpaceDN/>
        <w:spacing w:after="0" w:line="216" w:lineRule="auto"/>
        <w:ind w:left="714" w:hanging="357"/>
        <w:rPr>
          <w:rFonts w:eastAsia="Times New Roman" w:cstheme="minorHAnsi"/>
          <w:sz w:val="22"/>
          <w:lang w:eastAsia="en-AU"/>
        </w:rPr>
      </w:pPr>
      <w:r w:rsidRPr="00A77D90">
        <w:rPr>
          <w:rFonts w:eastAsia="Times New Roman" w:cstheme="minorHAnsi"/>
          <w:b/>
          <w:bCs/>
          <w:color w:val="000000"/>
          <w:sz w:val="22"/>
          <w:lang w:eastAsia="en-AU"/>
        </w:rPr>
        <w:t>High</w:t>
      </w:r>
      <w:r w:rsidRPr="00A77D90">
        <w:rPr>
          <w:rFonts w:eastAsia="Times New Roman" w:cstheme="minorHAnsi"/>
          <w:color w:val="000000"/>
          <w:sz w:val="22"/>
          <w:lang w:eastAsia="en-AU"/>
        </w:rPr>
        <w:t> – This option proposes to treat BNPL as a credit product regulated under the Credit Act, and the BNPL Industry Code would be revised to address industry-specific issues that are not considered within the scope of the Credit Act.</w:t>
      </w:r>
      <w:r w:rsidRPr="00A77D90">
        <w:rPr>
          <w:rFonts w:eastAsia="Times New Roman" w:cstheme="minorHAnsi"/>
          <w:sz w:val="22"/>
          <w:lang w:eastAsia="en-AU"/>
        </w:rPr>
        <w:t xml:space="preserve"> (</w:t>
      </w:r>
      <w:r w:rsidRPr="00A77D90">
        <w:rPr>
          <w:rFonts w:eastAsia="Times New Roman" w:cstheme="minorHAnsi"/>
          <w:color w:val="000000"/>
          <w:sz w:val="22"/>
          <w:lang w:eastAsia="en-AU"/>
        </w:rPr>
        <w:t xml:space="preserve">Sources: Treasury and </w:t>
      </w:r>
      <w:proofErr w:type="spellStart"/>
      <w:r w:rsidRPr="00A77D90">
        <w:rPr>
          <w:rFonts w:eastAsia="Times New Roman" w:cstheme="minorHAnsi"/>
          <w:color w:val="000000"/>
          <w:sz w:val="22"/>
          <w:lang w:eastAsia="en-AU"/>
        </w:rPr>
        <w:t>Allens</w:t>
      </w:r>
      <w:proofErr w:type="spellEnd"/>
      <w:r w:rsidRPr="00A77D90">
        <w:rPr>
          <w:rFonts w:eastAsia="Times New Roman" w:cstheme="minorHAnsi"/>
          <w:color w:val="000000"/>
          <w:sz w:val="22"/>
          <w:lang w:eastAsia="en-AU"/>
        </w:rPr>
        <w:t xml:space="preserve"> Linklaters.)</w:t>
      </w:r>
    </w:p>
    <w:p w14:paraId="17B183CF" w14:textId="647F1E90" w:rsidR="001702AE" w:rsidRPr="00A77D90" w:rsidRDefault="001702AE" w:rsidP="006B54C7">
      <w:pPr>
        <w:spacing w:after="0" w:line="216" w:lineRule="auto"/>
        <w:rPr>
          <w:rFonts w:eastAsia="Times New Roman" w:cstheme="minorHAnsi"/>
          <w:color w:val="242424"/>
          <w:sz w:val="22"/>
          <w:lang w:eastAsia="en-AU"/>
        </w:rPr>
      </w:pPr>
      <w:r w:rsidRPr="00A77D90">
        <w:rPr>
          <w:rFonts w:eastAsia="Times New Roman" w:cstheme="minorHAnsi"/>
          <w:lang w:val="en-US"/>
        </w:rPr>
        <w:object w:dxaOrig="225" w:dyaOrig="225" w14:anchorId="7CDA8960">
          <v:shape id="_x0000_i1429" type="#_x0000_t75" style="width:20.45pt;height:18.5pt" o:ole="">
            <v:imagedata r:id="rId25" o:title=""/>
          </v:shape>
          <w:control r:id="rId123" w:name="DefaultOcxName931" w:shapeid="_x0000_i1429"/>
        </w:object>
      </w:r>
      <w:r w:rsidRPr="00A77D90">
        <w:rPr>
          <w:rFonts w:eastAsia="Times New Roman" w:cstheme="minorHAnsi"/>
          <w:color w:val="242424"/>
          <w:sz w:val="22"/>
          <w:lang w:eastAsia="en-AU"/>
        </w:rPr>
        <w:t>Low – Co-regulation</w:t>
      </w:r>
    </w:p>
    <w:p w14:paraId="101A5154" w14:textId="33C3C9CE" w:rsidR="001702AE" w:rsidRPr="00A77D90" w:rsidRDefault="001702AE" w:rsidP="006B54C7">
      <w:pPr>
        <w:spacing w:after="0" w:line="216" w:lineRule="auto"/>
        <w:rPr>
          <w:rFonts w:eastAsia="Times New Roman" w:cstheme="minorHAnsi"/>
          <w:color w:val="242424"/>
          <w:sz w:val="22"/>
          <w:lang w:eastAsia="en-AU"/>
        </w:rPr>
      </w:pPr>
      <w:r w:rsidRPr="00A77D90">
        <w:rPr>
          <w:rFonts w:eastAsia="Times New Roman" w:cstheme="minorHAnsi"/>
          <w:lang w:val="en-US"/>
        </w:rPr>
        <w:object w:dxaOrig="225" w:dyaOrig="225" w14:anchorId="66D51CFC">
          <v:shape id="_x0000_i1432" type="#_x0000_t75" style="width:20.45pt;height:18.5pt" o:ole="">
            <v:imagedata r:id="rId25" o:title=""/>
          </v:shape>
          <w:control r:id="rId124" w:name="DefaultOcxName941" w:shapeid="_x0000_i1432"/>
        </w:object>
      </w:r>
      <w:r w:rsidRPr="00A77D90">
        <w:rPr>
          <w:rFonts w:eastAsia="Times New Roman" w:cstheme="minorHAnsi"/>
          <w:color w:val="242424"/>
          <w:sz w:val="22"/>
          <w:lang w:eastAsia="en-AU"/>
        </w:rPr>
        <w:t>Moderate – Partial regulation under the Credit Act</w:t>
      </w:r>
    </w:p>
    <w:p w14:paraId="5CAEAEAC" w14:textId="632A28C6" w:rsidR="001702AE" w:rsidRPr="00A77D90" w:rsidRDefault="001702AE" w:rsidP="006B54C7">
      <w:pPr>
        <w:spacing w:after="0" w:line="216" w:lineRule="auto"/>
        <w:textAlignment w:val="center"/>
        <w:rPr>
          <w:rFonts w:eastAsia="Times New Roman" w:cstheme="minorHAnsi"/>
          <w:color w:val="242424"/>
          <w:sz w:val="22"/>
          <w:lang w:eastAsia="en-AU"/>
        </w:rPr>
      </w:pPr>
      <w:r w:rsidRPr="00A77D90">
        <w:rPr>
          <w:rFonts w:eastAsia="Times New Roman" w:cstheme="minorHAnsi"/>
          <w:lang w:val="en-US"/>
        </w:rPr>
        <w:object w:dxaOrig="225" w:dyaOrig="225" w14:anchorId="18C5EC28">
          <v:shape id="_x0000_i1435" type="#_x0000_t75" style="width:20.45pt;height:18.5pt" o:ole="">
            <v:imagedata r:id="rId25" o:title=""/>
          </v:shape>
          <w:control r:id="rId125" w:name="DefaultOcxName93111" w:shapeid="_x0000_i1435"/>
        </w:object>
      </w:r>
      <w:r w:rsidRPr="00A77D90">
        <w:rPr>
          <w:rFonts w:eastAsia="Times New Roman" w:cstheme="minorHAnsi"/>
          <w:color w:val="242424"/>
          <w:sz w:val="22"/>
          <w:lang w:eastAsia="en-AU"/>
        </w:rPr>
        <w:t>High – Regulation under the Credit Act, like other credit products</w:t>
      </w:r>
    </w:p>
    <w:p w14:paraId="346FEE4D" w14:textId="44B54121" w:rsidR="001702AE" w:rsidRPr="00A77D90" w:rsidRDefault="001702AE" w:rsidP="006B54C7">
      <w:pPr>
        <w:spacing w:after="0" w:line="216" w:lineRule="auto"/>
        <w:rPr>
          <w:rFonts w:eastAsia="Times New Roman" w:cstheme="minorHAnsi"/>
          <w:color w:val="242424"/>
          <w:sz w:val="22"/>
          <w:lang w:eastAsia="en-AU"/>
        </w:rPr>
      </w:pPr>
      <w:r w:rsidRPr="00A77D90">
        <w:rPr>
          <w:rFonts w:eastAsia="Times New Roman" w:cstheme="minorHAnsi"/>
          <w:lang w:val="en-US"/>
        </w:rPr>
        <w:object w:dxaOrig="225" w:dyaOrig="225" w14:anchorId="7C0170A0">
          <v:shape id="_x0000_i1438" type="#_x0000_t75" style="width:20.45pt;height:18.5pt" o:ole="">
            <v:imagedata r:id="rId25" o:title=""/>
          </v:shape>
          <w:control r:id="rId126" w:name="DefaultOcxName9311" w:shapeid="_x0000_i1438"/>
        </w:object>
      </w:r>
      <w:r w:rsidRPr="00A77D90">
        <w:rPr>
          <w:rFonts w:eastAsia="Times New Roman" w:cstheme="minorHAnsi"/>
          <w:color w:val="242424"/>
          <w:sz w:val="22"/>
          <w:lang w:eastAsia="en-AU"/>
        </w:rPr>
        <w:t>Don't know</w:t>
      </w:r>
    </w:p>
    <w:p w14:paraId="4515D671" w14:textId="2E0071DC" w:rsidR="001702AE" w:rsidRPr="00A77D90" w:rsidRDefault="001702AE" w:rsidP="006B54C7">
      <w:pPr>
        <w:spacing w:after="0" w:line="216" w:lineRule="auto"/>
        <w:rPr>
          <w:rFonts w:eastAsia="Times New Roman" w:cstheme="minorHAnsi"/>
          <w:color w:val="212121"/>
          <w:sz w:val="22"/>
          <w:lang w:eastAsia="en-AU"/>
        </w:rPr>
      </w:pPr>
      <w:r w:rsidRPr="00A77D90">
        <w:rPr>
          <w:rFonts w:eastAsia="Times New Roman" w:cstheme="minorHAnsi"/>
          <w:lang w:val="en-US"/>
        </w:rPr>
        <w:object w:dxaOrig="225" w:dyaOrig="225" w14:anchorId="5E4AAFDF">
          <v:shape id="_x0000_i1441" type="#_x0000_t75" style="width:20.45pt;height:18.5pt" o:ole="">
            <v:imagedata r:id="rId25" o:title=""/>
          </v:shape>
          <w:control r:id="rId127" w:name="DefaultOcxName93112" w:shapeid="_x0000_i1441"/>
        </w:object>
      </w:r>
      <w:r w:rsidRPr="00A77D90">
        <w:rPr>
          <w:rFonts w:eastAsia="Times New Roman" w:cstheme="minorHAnsi"/>
          <w:sz w:val="22"/>
          <w:lang w:eastAsia="en-AU"/>
        </w:rPr>
        <w:t xml:space="preserve">Other: </w:t>
      </w:r>
      <w:r w:rsidRPr="00A77D90">
        <w:rPr>
          <w:rFonts w:eastAsia="Times New Roman" w:cstheme="minorHAnsi"/>
          <w:lang w:val="en-US"/>
        </w:rPr>
        <w:object w:dxaOrig="225" w:dyaOrig="225" w14:anchorId="7249E0B1">
          <v:shape id="_x0000_i1445" type="#_x0000_t75" style="width:49.6pt;height:18.5pt" o:ole="">
            <v:imagedata r:id="rId32" o:title=""/>
          </v:shape>
          <w:control r:id="rId128" w:name="DefaultOcxName557" w:shapeid="_x0000_i1445"/>
        </w:object>
      </w:r>
    </w:p>
    <w:p w14:paraId="71D0780D" w14:textId="29A408FB" w:rsidR="001702AE" w:rsidRPr="00A77D90" w:rsidRDefault="001702AE" w:rsidP="006B54C7">
      <w:pPr>
        <w:spacing w:after="0" w:line="216" w:lineRule="auto"/>
        <w:rPr>
          <w:rFonts w:eastAsia="Times New Roman" w:cstheme="minorHAnsi"/>
          <w:sz w:val="22"/>
        </w:rPr>
      </w:pPr>
      <w:r w:rsidRPr="00A77D90">
        <w:rPr>
          <w:rFonts w:cstheme="minorHAnsi"/>
          <w:sz w:val="22"/>
        </w:rPr>
        <w:t xml:space="preserve">26. </w:t>
      </w:r>
      <w:r w:rsidRPr="00A77D90">
        <w:rPr>
          <w:rFonts w:eastAsia="Times New Roman" w:cstheme="minorHAnsi"/>
          <w:sz w:val="22"/>
          <w:lang w:eastAsia="en-AU"/>
        </w:rPr>
        <w:t xml:space="preserve">Tell us more, if you wish:  </w:t>
      </w:r>
      <w:r w:rsidRPr="00A77D90">
        <w:rPr>
          <w:rFonts w:eastAsia="Times New Roman" w:cstheme="minorHAnsi"/>
          <w:lang w:val="en-US"/>
        </w:rPr>
        <w:object w:dxaOrig="225" w:dyaOrig="225" w14:anchorId="173DC89C">
          <v:shape id="_x0000_i1449" type="#_x0000_t75" style="width:49.6pt;height:18.5pt" o:ole="">
            <v:imagedata r:id="rId32" o:title=""/>
          </v:shape>
          <w:control r:id="rId129" w:name="DefaultOcxName55311" w:shapeid="_x0000_i1449"/>
        </w:object>
      </w:r>
    </w:p>
    <w:p w14:paraId="659A841B" w14:textId="77777777" w:rsidR="001702AE" w:rsidRPr="00B40A46" w:rsidRDefault="001702AE" w:rsidP="006B54C7">
      <w:pPr>
        <w:rPr>
          <w:sz w:val="22"/>
        </w:rPr>
      </w:pPr>
      <w:r w:rsidRPr="00B40A46">
        <w:rPr>
          <w:sz w:val="22"/>
          <w:shd w:val="clear" w:color="auto" w:fill="FFFFFF"/>
        </w:rPr>
        <w:t>27. Please tell us anything more, if you wish, about BNPL debts or other debt issues experienced by your clients:</w:t>
      </w:r>
    </w:p>
    <w:p w14:paraId="73CAE389" w14:textId="7CC73F7E" w:rsidR="001702AE" w:rsidRPr="00A77D90" w:rsidRDefault="001702AE" w:rsidP="006B54C7">
      <w:pPr>
        <w:spacing w:after="0" w:line="216" w:lineRule="auto"/>
        <w:rPr>
          <w:rFonts w:eastAsia="Times New Roman" w:cstheme="minorHAnsi"/>
          <w:sz w:val="22"/>
        </w:rPr>
      </w:pPr>
      <w:r w:rsidRPr="00A77D90">
        <w:rPr>
          <w:rFonts w:eastAsia="Times New Roman" w:cstheme="minorHAnsi"/>
          <w:lang w:val="en-US"/>
        </w:rPr>
        <w:object w:dxaOrig="225" w:dyaOrig="225" w14:anchorId="3845C823">
          <v:shape id="_x0000_i1453" type="#_x0000_t75" style="width:49.6pt;height:18.5pt" o:ole="">
            <v:imagedata r:id="rId32" o:title=""/>
          </v:shape>
          <w:control r:id="rId130" w:name="DefaultOcxName553111" w:shapeid="_x0000_i1453"/>
        </w:object>
      </w:r>
    </w:p>
    <w:p w14:paraId="7FF197EC" w14:textId="52F10352" w:rsidR="001702AE" w:rsidRPr="00AF140E" w:rsidRDefault="006B54C7" w:rsidP="00AF140E">
      <w:pPr>
        <w:pStyle w:val="Heading1"/>
      </w:pPr>
      <w:bookmarkStart w:id="122" w:name="_Toc130396353"/>
      <w:r>
        <w:br w:type="page"/>
      </w:r>
      <w:bookmarkStart w:id="123" w:name="_Toc131232904"/>
      <w:r w:rsidR="001702AE" w:rsidRPr="0098106D">
        <w:lastRenderedPageBreak/>
        <w:t xml:space="preserve">Appendix </w:t>
      </w:r>
      <w:r w:rsidR="001702AE">
        <w:t>C</w:t>
      </w:r>
      <w:r w:rsidR="001702AE" w:rsidRPr="0098106D">
        <w:t xml:space="preserve">: </w:t>
      </w:r>
      <w:r w:rsidR="001702AE">
        <w:t>Quantitative R</w:t>
      </w:r>
      <w:r w:rsidR="001702AE" w:rsidRPr="0098106D">
        <w:t>esults of Survey of Financial Counsellors</w:t>
      </w:r>
      <w:bookmarkEnd w:id="122"/>
      <w:bookmarkEnd w:id="123"/>
    </w:p>
    <w:p w14:paraId="725E4659" w14:textId="77777777" w:rsidR="001702AE" w:rsidRPr="00BD3DB4" w:rsidRDefault="001702AE" w:rsidP="006B54C7">
      <w:pPr>
        <w:spacing w:after="240"/>
        <w:rPr>
          <w:rFonts w:cstheme="minorHAnsi"/>
        </w:rPr>
      </w:pPr>
      <w:r>
        <w:rPr>
          <w:rFonts w:cstheme="minorHAnsi"/>
        </w:rPr>
        <w:t>T</w:t>
      </w:r>
      <w:r w:rsidRPr="0060438F">
        <w:rPr>
          <w:rFonts w:cstheme="minorHAnsi"/>
        </w:rPr>
        <w:t xml:space="preserve">he </w:t>
      </w:r>
      <w:r>
        <w:rPr>
          <w:rFonts w:cstheme="minorHAnsi"/>
        </w:rPr>
        <w:t xml:space="preserve">quantitative </w:t>
      </w:r>
      <w:r w:rsidRPr="0060438F">
        <w:rPr>
          <w:rFonts w:cstheme="minorHAnsi"/>
        </w:rPr>
        <w:t xml:space="preserve">data </w:t>
      </w:r>
      <w:r>
        <w:rPr>
          <w:rFonts w:cstheme="minorHAnsi"/>
        </w:rPr>
        <w:t>generated by the survey is provided below.</w:t>
      </w:r>
    </w:p>
    <w:p w14:paraId="25BDA9DD" w14:textId="77777777" w:rsidR="001702AE" w:rsidRPr="00707E2A" w:rsidRDefault="001702AE" w:rsidP="006B54C7">
      <w:pPr>
        <w:rPr>
          <w:rFonts w:cstheme="minorHAnsi"/>
          <w:color w:val="212121"/>
          <w:shd w:val="clear" w:color="auto" w:fill="FFFFFF"/>
        </w:rPr>
      </w:pPr>
      <w:r w:rsidRPr="00707E2A">
        <w:rPr>
          <w:rFonts w:cstheme="minorHAnsi"/>
          <w:color w:val="2F5496" w:themeColor="accent1" w:themeShade="BF"/>
        </w:rPr>
        <w:t>Q</w:t>
      </w:r>
      <w:r>
        <w:rPr>
          <w:rFonts w:cstheme="minorHAnsi"/>
          <w:color w:val="2F5496" w:themeColor="accent1" w:themeShade="BF"/>
        </w:rPr>
        <w:t>1.</w:t>
      </w:r>
      <w:r w:rsidRPr="00707E2A">
        <w:rPr>
          <w:rFonts w:cstheme="minorHAnsi"/>
          <w:color w:val="2F5496" w:themeColor="accent1" w:themeShade="BF"/>
        </w:rPr>
        <w:t xml:space="preserve"> </w:t>
      </w:r>
      <w:r w:rsidRPr="00707E2A">
        <w:rPr>
          <w:rFonts w:cstheme="minorHAnsi"/>
          <w:color w:val="2F5496" w:themeColor="accent1" w:themeShade="BF"/>
          <w:shd w:val="clear" w:color="auto" w:fill="FFFFFF"/>
        </w:rPr>
        <w:t>How many of your clients are currently presenting with one or more BNPL debts?</w:t>
      </w:r>
    </w:p>
    <w:p w14:paraId="782A3B8E" w14:textId="77777777" w:rsidR="001702AE" w:rsidRDefault="001702AE" w:rsidP="006B54C7">
      <w:pPr>
        <w:rPr>
          <w:color w:val="2F5496" w:themeColor="accent1" w:themeShade="BF"/>
        </w:rPr>
      </w:pPr>
      <w:r w:rsidRPr="008458A2">
        <w:rPr>
          <w:noProof/>
          <w:color w:val="2F5496" w:themeColor="accent1" w:themeShade="BF"/>
        </w:rPr>
        <w:drawing>
          <wp:inline distT="0" distB="0" distL="0" distR="0" wp14:anchorId="7764979E" wp14:editId="691976B1">
            <wp:extent cx="5215890" cy="2057231"/>
            <wp:effectExtent l="19050" t="19050" r="22860" b="196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244125" cy="2068368"/>
                    </a:xfrm>
                    <a:prstGeom prst="rect">
                      <a:avLst/>
                    </a:prstGeom>
                    <a:ln>
                      <a:solidFill>
                        <a:schemeClr val="accent1"/>
                      </a:solidFill>
                    </a:ln>
                  </pic:spPr>
                </pic:pic>
              </a:graphicData>
            </a:graphic>
          </wp:inline>
        </w:drawing>
      </w:r>
    </w:p>
    <w:p w14:paraId="073BA03D" w14:textId="77777777" w:rsidR="001702AE" w:rsidRPr="00785DF3" w:rsidRDefault="001702AE" w:rsidP="006B54C7">
      <w:pPr>
        <w:spacing w:after="0"/>
        <w:rPr>
          <w:rFonts w:cstheme="minorHAnsi"/>
          <w:color w:val="2F5496" w:themeColor="accent1" w:themeShade="BF"/>
          <w:sz w:val="16"/>
          <w:szCs w:val="16"/>
        </w:rPr>
      </w:pPr>
    </w:p>
    <w:p w14:paraId="157EFC22" w14:textId="77777777" w:rsidR="001702AE" w:rsidRDefault="001702AE" w:rsidP="006B54C7">
      <w:pPr>
        <w:rPr>
          <w:rFonts w:cstheme="minorHAnsi"/>
          <w:noProof/>
          <w:color w:val="2F5496" w:themeColor="accent1" w:themeShade="BF"/>
        </w:rPr>
      </w:pPr>
      <w:r w:rsidRPr="00C45A1B">
        <w:rPr>
          <w:rFonts w:cstheme="minorHAnsi"/>
          <w:color w:val="2F5496" w:themeColor="accent1" w:themeShade="BF"/>
        </w:rPr>
        <w:t>Q</w:t>
      </w:r>
      <w:r>
        <w:rPr>
          <w:rFonts w:cstheme="minorHAnsi"/>
          <w:color w:val="2F5496" w:themeColor="accent1" w:themeShade="BF"/>
        </w:rPr>
        <w:t>3.</w:t>
      </w:r>
      <w:r w:rsidRPr="00C45A1B">
        <w:rPr>
          <w:rFonts w:cstheme="minorHAnsi"/>
          <w:color w:val="2F5496" w:themeColor="accent1" w:themeShade="BF"/>
        </w:rPr>
        <w:t xml:space="preserve"> </w:t>
      </w:r>
      <w:r w:rsidRPr="00C45A1B">
        <w:rPr>
          <w:rFonts w:cstheme="minorHAnsi"/>
          <w:color w:val="2F5496" w:themeColor="accent1" w:themeShade="BF"/>
          <w:shd w:val="clear" w:color="auto" w:fill="FFFFFF"/>
        </w:rPr>
        <w:t>How many of your clients are currently presenting with BNPL debts </w:t>
      </w:r>
      <w:r w:rsidRPr="00C45A1B">
        <w:rPr>
          <w:rFonts w:cstheme="minorHAnsi"/>
          <w:b/>
          <w:bCs/>
          <w:color w:val="2F5496" w:themeColor="accent1" w:themeShade="BF"/>
          <w:shd w:val="clear" w:color="auto" w:fill="FFFFFF"/>
        </w:rPr>
        <w:t>compared to 12 months ago</w:t>
      </w:r>
      <w:r w:rsidRPr="00C45A1B">
        <w:rPr>
          <w:rFonts w:cstheme="minorHAnsi"/>
          <w:color w:val="2F5496" w:themeColor="accent1" w:themeShade="BF"/>
          <w:shd w:val="clear" w:color="auto" w:fill="FFFFFF"/>
        </w:rPr>
        <w:t>?</w:t>
      </w:r>
      <w:r w:rsidRPr="0098106D">
        <w:rPr>
          <w:rFonts w:cstheme="minorHAnsi"/>
          <w:noProof/>
          <w:color w:val="2F5496" w:themeColor="accent1" w:themeShade="BF"/>
        </w:rPr>
        <w:t xml:space="preserve"> </w:t>
      </w:r>
    </w:p>
    <w:p w14:paraId="439B7221" w14:textId="77777777" w:rsidR="001702AE" w:rsidRDefault="001702AE" w:rsidP="006B54C7">
      <w:pPr>
        <w:rPr>
          <w:rFonts w:cstheme="minorHAnsi"/>
          <w:color w:val="2F5496" w:themeColor="accent1" w:themeShade="BF"/>
          <w:shd w:val="clear" w:color="auto" w:fill="FFFFFF"/>
        </w:rPr>
      </w:pPr>
      <w:r w:rsidRPr="00C45A1B">
        <w:rPr>
          <w:rFonts w:cstheme="minorHAnsi"/>
          <w:noProof/>
          <w:color w:val="2F5496" w:themeColor="accent1" w:themeShade="BF"/>
        </w:rPr>
        <w:drawing>
          <wp:inline distT="0" distB="0" distL="0" distR="0" wp14:anchorId="10EB4C87" wp14:editId="2DE3A3EC">
            <wp:extent cx="5215890" cy="2008112"/>
            <wp:effectExtent l="19050" t="19050" r="2286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242410" cy="2018322"/>
                    </a:xfrm>
                    <a:prstGeom prst="rect">
                      <a:avLst/>
                    </a:prstGeom>
                    <a:ln>
                      <a:solidFill>
                        <a:schemeClr val="accent1"/>
                      </a:solidFill>
                    </a:ln>
                  </pic:spPr>
                </pic:pic>
              </a:graphicData>
            </a:graphic>
          </wp:inline>
        </w:drawing>
      </w:r>
    </w:p>
    <w:p w14:paraId="3D76244B" w14:textId="77777777" w:rsidR="001702AE" w:rsidRPr="00785DF3" w:rsidRDefault="001702AE" w:rsidP="006B54C7">
      <w:pPr>
        <w:spacing w:after="0"/>
        <w:rPr>
          <w:color w:val="2F5496" w:themeColor="accent1" w:themeShade="BF"/>
          <w:sz w:val="16"/>
          <w:szCs w:val="16"/>
        </w:rPr>
      </w:pPr>
    </w:p>
    <w:p w14:paraId="785B35F2" w14:textId="77777777" w:rsidR="001702AE" w:rsidRDefault="001702AE" w:rsidP="006B54C7">
      <w:pPr>
        <w:rPr>
          <w:rFonts w:cstheme="minorHAnsi"/>
          <w:color w:val="2F5496" w:themeColor="accent1" w:themeShade="BF"/>
          <w:shd w:val="clear" w:color="auto" w:fill="FFFFFF"/>
        </w:rPr>
      </w:pPr>
      <w:r w:rsidRPr="00290B0B">
        <w:rPr>
          <w:color w:val="2F5496" w:themeColor="accent1" w:themeShade="BF"/>
        </w:rPr>
        <w:t xml:space="preserve">Q5. </w:t>
      </w:r>
      <w:r w:rsidRPr="00C45A1B">
        <w:rPr>
          <w:rFonts w:cstheme="minorHAnsi"/>
          <w:color w:val="2F5496" w:themeColor="accent1" w:themeShade="BF"/>
          <w:shd w:val="clear" w:color="auto" w:fill="FFFFFF"/>
        </w:rPr>
        <w:t>Thinking about your clients with BNPL debts, how many of them recognise BNPL as a type of credit?</w:t>
      </w:r>
    </w:p>
    <w:p w14:paraId="5E3189E9" w14:textId="77777777" w:rsidR="001702AE" w:rsidRPr="00C45A1B" w:rsidRDefault="001702AE" w:rsidP="006B54C7">
      <w:pPr>
        <w:rPr>
          <w:rFonts w:cstheme="minorHAnsi"/>
          <w:color w:val="2F5496" w:themeColor="accent1" w:themeShade="BF"/>
          <w:shd w:val="clear" w:color="auto" w:fill="FFFFFF"/>
        </w:rPr>
      </w:pPr>
      <w:r w:rsidRPr="00C45A1B">
        <w:rPr>
          <w:rFonts w:cstheme="minorHAnsi"/>
          <w:noProof/>
          <w:color w:val="2F5496" w:themeColor="accent1" w:themeShade="BF"/>
          <w:shd w:val="clear" w:color="auto" w:fill="FFFFFF"/>
        </w:rPr>
        <w:drawing>
          <wp:inline distT="0" distB="0" distL="0" distR="0" wp14:anchorId="11145626" wp14:editId="5439B93C">
            <wp:extent cx="5215890" cy="2113862"/>
            <wp:effectExtent l="19050" t="19050" r="22860" b="203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253391" cy="2129060"/>
                    </a:xfrm>
                    <a:prstGeom prst="rect">
                      <a:avLst/>
                    </a:prstGeom>
                    <a:ln>
                      <a:solidFill>
                        <a:schemeClr val="accent1"/>
                      </a:solidFill>
                    </a:ln>
                  </pic:spPr>
                </pic:pic>
              </a:graphicData>
            </a:graphic>
          </wp:inline>
        </w:drawing>
      </w:r>
    </w:p>
    <w:p w14:paraId="2D84995F" w14:textId="77777777" w:rsidR="001702AE" w:rsidRPr="00F50E0C" w:rsidRDefault="001702AE" w:rsidP="006B54C7">
      <w:pPr>
        <w:rPr>
          <w:rFonts w:cstheme="minorHAnsi"/>
          <w:color w:val="2F5496" w:themeColor="accent1" w:themeShade="BF"/>
          <w:szCs w:val="24"/>
        </w:rPr>
      </w:pPr>
      <w:r>
        <w:rPr>
          <w:rFonts w:cstheme="minorHAnsi"/>
          <w:color w:val="2F5496" w:themeColor="accent1" w:themeShade="BF"/>
          <w:szCs w:val="24"/>
        </w:rPr>
        <w:lastRenderedPageBreak/>
        <w:t>Q7.</w:t>
      </w:r>
      <w:r w:rsidRPr="00F50E0C">
        <w:rPr>
          <w:rFonts w:cstheme="minorHAnsi"/>
          <w:color w:val="2F5496" w:themeColor="accent1" w:themeShade="BF"/>
          <w:szCs w:val="24"/>
        </w:rPr>
        <w:t xml:space="preserve"> </w:t>
      </w:r>
      <w:r w:rsidRPr="00F50E0C">
        <w:rPr>
          <w:rFonts w:cstheme="minorHAnsi"/>
          <w:color w:val="2F5496" w:themeColor="accent1" w:themeShade="BF"/>
          <w:szCs w:val="24"/>
          <w:shd w:val="clear" w:color="auto" w:fill="FFFFFF"/>
        </w:rPr>
        <w:t>Thinking about your clients with BNPL debts, how many of them have cut back or gone without essentials or missed other payments in order to service their BNPL debts?</w:t>
      </w:r>
    </w:p>
    <w:p w14:paraId="52FC904D" w14:textId="77777777" w:rsidR="001702AE" w:rsidRPr="00C45A1B" w:rsidRDefault="001702AE" w:rsidP="006B54C7">
      <w:pPr>
        <w:rPr>
          <w:color w:val="2F5496" w:themeColor="accent1" w:themeShade="BF"/>
          <w:sz w:val="22"/>
        </w:rPr>
      </w:pPr>
      <w:r w:rsidRPr="00F50E0C">
        <w:rPr>
          <w:noProof/>
          <w:color w:val="2F5496" w:themeColor="accent1" w:themeShade="BF"/>
          <w:sz w:val="22"/>
        </w:rPr>
        <w:drawing>
          <wp:inline distT="0" distB="0" distL="0" distR="0" wp14:anchorId="45840CF0" wp14:editId="75F11A5E">
            <wp:extent cx="5172075" cy="2054274"/>
            <wp:effectExtent l="19050" t="19050" r="9525" b="222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213722" cy="2070815"/>
                    </a:xfrm>
                    <a:prstGeom prst="rect">
                      <a:avLst/>
                    </a:prstGeom>
                    <a:ln>
                      <a:solidFill>
                        <a:schemeClr val="accent1"/>
                      </a:solidFill>
                    </a:ln>
                  </pic:spPr>
                </pic:pic>
              </a:graphicData>
            </a:graphic>
          </wp:inline>
        </w:drawing>
      </w:r>
    </w:p>
    <w:p w14:paraId="3E38BC0E" w14:textId="77777777" w:rsidR="001702AE" w:rsidRDefault="001702AE" w:rsidP="006B54C7">
      <w:pPr>
        <w:rPr>
          <w:rFonts w:cstheme="minorHAnsi"/>
          <w:color w:val="2F5496" w:themeColor="accent1" w:themeShade="BF"/>
          <w:szCs w:val="24"/>
        </w:rPr>
      </w:pPr>
    </w:p>
    <w:p w14:paraId="21933603" w14:textId="77777777" w:rsidR="001702AE" w:rsidRPr="00707E2A" w:rsidRDefault="001702AE" w:rsidP="006B54C7">
      <w:pPr>
        <w:rPr>
          <w:rFonts w:cstheme="minorHAnsi"/>
          <w:color w:val="2F5496" w:themeColor="accent1" w:themeShade="BF"/>
          <w:szCs w:val="24"/>
        </w:rPr>
      </w:pPr>
      <w:r>
        <w:rPr>
          <w:rFonts w:cstheme="minorHAnsi"/>
          <w:color w:val="2F5496" w:themeColor="accent1" w:themeShade="BF"/>
          <w:szCs w:val="24"/>
        </w:rPr>
        <w:t>Q9.</w:t>
      </w:r>
      <w:r w:rsidRPr="00707E2A">
        <w:rPr>
          <w:rFonts w:cstheme="minorHAnsi"/>
          <w:color w:val="2F5496" w:themeColor="accent1" w:themeShade="BF"/>
          <w:szCs w:val="24"/>
        </w:rPr>
        <w:t xml:space="preserve"> </w:t>
      </w:r>
      <w:r w:rsidRPr="00707E2A">
        <w:rPr>
          <w:rFonts w:cstheme="minorHAnsi"/>
          <w:color w:val="2F5496" w:themeColor="accent1" w:themeShade="BF"/>
          <w:szCs w:val="24"/>
          <w:shd w:val="clear" w:color="auto" w:fill="FFFFFF"/>
        </w:rPr>
        <w:t>Thinking about your clients with BNPL debts, what are the most common items purchased using BNPL products?</w:t>
      </w:r>
    </w:p>
    <w:p w14:paraId="278BCB29" w14:textId="77777777" w:rsidR="001702AE" w:rsidRPr="00C45A1B" w:rsidRDefault="001702AE" w:rsidP="006B54C7">
      <w:pPr>
        <w:rPr>
          <w:color w:val="2F5496" w:themeColor="accent1" w:themeShade="BF"/>
          <w:sz w:val="22"/>
        </w:rPr>
      </w:pPr>
      <w:r w:rsidRPr="00F50E0C">
        <w:rPr>
          <w:noProof/>
          <w:color w:val="2F5496" w:themeColor="accent1" w:themeShade="BF"/>
          <w:sz w:val="22"/>
        </w:rPr>
        <w:drawing>
          <wp:inline distT="0" distB="0" distL="0" distR="0" wp14:anchorId="3D8D776B" wp14:editId="772B13AB">
            <wp:extent cx="5172075" cy="2724352"/>
            <wp:effectExtent l="19050" t="19050" r="952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207932" cy="2743239"/>
                    </a:xfrm>
                    <a:prstGeom prst="rect">
                      <a:avLst/>
                    </a:prstGeom>
                    <a:ln w="9525">
                      <a:solidFill>
                        <a:schemeClr val="accent1"/>
                      </a:solidFill>
                    </a:ln>
                  </pic:spPr>
                </pic:pic>
              </a:graphicData>
            </a:graphic>
          </wp:inline>
        </w:drawing>
      </w:r>
    </w:p>
    <w:p w14:paraId="38FDB4F8" w14:textId="77777777" w:rsidR="001702AE" w:rsidRDefault="001702AE" w:rsidP="006B54C7">
      <w:pPr>
        <w:rPr>
          <w:rFonts w:cstheme="minorHAnsi"/>
          <w:color w:val="2F5496" w:themeColor="accent1" w:themeShade="BF"/>
          <w:shd w:val="clear" w:color="auto" w:fill="FFFFFF"/>
        </w:rPr>
      </w:pPr>
    </w:p>
    <w:p w14:paraId="78145619" w14:textId="77777777" w:rsidR="001702AE" w:rsidRDefault="001702AE" w:rsidP="006B54C7">
      <w:pPr>
        <w:rPr>
          <w:rFonts w:cstheme="minorHAnsi"/>
          <w:color w:val="2F5496" w:themeColor="accent1" w:themeShade="BF"/>
          <w:shd w:val="clear" w:color="auto" w:fill="FFFFFF"/>
        </w:rPr>
      </w:pPr>
      <w:r>
        <w:rPr>
          <w:rFonts w:cstheme="minorHAnsi"/>
          <w:color w:val="2F5496" w:themeColor="accent1" w:themeShade="BF"/>
          <w:shd w:val="clear" w:color="auto" w:fill="FFFFFF"/>
        </w:rPr>
        <w:br w:type="page"/>
      </w:r>
    </w:p>
    <w:p w14:paraId="3F37EC47" w14:textId="77777777" w:rsidR="001702AE" w:rsidRPr="003F3AEC" w:rsidRDefault="001702AE" w:rsidP="006B54C7">
      <w:pPr>
        <w:rPr>
          <w:rFonts w:cstheme="minorHAnsi"/>
          <w:i/>
          <w:color w:val="2F5496" w:themeColor="accent1" w:themeShade="BF"/>
          <w:sz w:val="22"/>
        </w:rPr>
      </w:pPr>
      <w:r w:rsidRPr="003F3AEC">
        <w:rPr>
          <w:rFonts w:cstheme="minorHAnsi"/>
          <w:color w:val="2F5496" w:themeColor="accent1" w:themeShade="BF"/>
          <w:shd w:val="clear" w:color="auto" w:fill="FFFFFF"/>
        </w:rPr>
        <w:lastRenderedPageBreak/>
        <w:t>Q</w:t>
      </w:r>
      <w:r>
        <w:rPr>
          <w:rFonts w:cstheme="minorHAnsi"/>
          <w:color w:val="2F5496" w:themeColor="accent1" w:themeShade="BF"/>
          <w:shd w:val="clear" w:color="auto" w:fill="FFFFFF"/>
        </w:rPr>
        <w:t>11.</w:t>
      </w:r>
      <w:r w:rsidRPr="003F3AEC">
        <w:rPr>
          <w:rFonts w:cstheme="minorHAnsi"/>
          <w:color w:val="2F5496" w:themeColor="accent1" w:themeShade="BF"/>
          <w:shd w:val="clear" w:color="auto" w:fill="FFFFFF"/>
        </w:rPr>
        <w:t xml:space="preserve"> Thinking about your clients overall, which type of debt is causing them the </w:t>
      </w:r>
      <w:r w:rsidRPr="003F3AEC">
        <w:rPr>
          <w:rFonts w:cstheme="minorHAnsi"/>
          <w:b/>
          <w:bCs/>
          <w:color w:val="2F5496" w:themeColor="accent1" w:themeShade="BF"/>
          <w:shd w:val="clear" w:color="auto" w:fill="FFFFFF"/>
        </w:rPr>
        <w:t>most severe</w:t>
      </w:r>
      <w:r w:rsidRPr="003F3AEC">
        <w:rPr>
          <w:rFonts w:cstheme="minorHAnsi"/>
          <w:color w:val="2F5496" w:themeColor="accent1" w:themeShade="BF"/>
          <w:shd w:val="clear" w:color="auto" w:fill="FFFFFF"/>
        </w:rPr>
        <w:t> difficulties?</w:t>
      </w:r>
    </w:p>
    <w:p w14:paraId="5F70288C" w14:textId="77777777" w:rsidR="001702AE" w:rsidRPr="00264B89" w:rsidRDefault="001702AE" w:rsidP="006B54C7">
      <w:pPr>
        <w:rPr>
          <w:color w:val="2F5496" w:themeColor="accent1" w:themeShade="BF"/>
          <w:sz w:val="22"/>
        </w:rPr>
      </w:pPr>
      <w:r w:rsidRPr="003F3AEC">
        <w:rPr>
          <w:noProof/>
          <w:color w:val="2F5496" w:themeColor="accent1" w:themeShade="BF"/>
          <w:sz w:val="22"/>
        </w:rPr>
        <w:drawing>
          <wp:inline distT="0" distB="0" distL="0" distR="0" wp14:anchorId="4A9E721E" wp14:editId="3B8CD16D">
            <wp:extent cx="5191125" cy="2854946"/>
            <wp:effectExtent l="19050" t="19050" r="9525" b="222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237347" cy="2880367"/>
                    </a:xfrm>
                    <a:prstGeom prst="rect">
                      <a:avLst/>
                    </a:prstGeom>
                    <a:ln>
                      <a:solidFill>
                        <a:schemeClr val="accent1"/>
                      </a:solidFill>
                    </a:ln>
                  </pic:spPr>
                </pic:pic>
              </a:graphicData>
            </a:graphic>
          </wp:inline>
        </w:drawing>
      </w:r>
    </w:p>
    <w:p w14:paraId="6CD06B02" w14:textId="77777777" w:rsidR="001702AE" w:rsidRDefault="001702AE" w:rsidP="006B54C7">
      <w:pPr>
        <w:spacing w:after="0"/>
        <w:rPr>
          <w:rFonts w:cstheme="minorHAnsi"/>
          <w:color w:val="2F5496" w:themeColor="accent1" w:themeShade="BF"/>
          <w:shd w:val="clear" w:color="auto" w:fill="FFFFFF"/>
        </w:rPr>
      </w:pPr>
    </w:p>
    <w:p w14:paraId="12A61800" w14:textId="77777777" w:rsidR="001702AE" w:rsidRPr="00380FD7" w:rsidRDefault="001702AE" w:rsidP="006B54C7">
      <w:pPr>
        <w:rPr>
          <w:rFonts w:cstheme="minorHAnsi"/>
          <w:color w:val="4472C4" w:themeColor="accent1"/>
          <w:sz w:val="22"/>
        </w:rPr>
      </w:pPr>
      <w:r w:rsidRPr="00707E2A">
        <w:rPr>
          <w:rFonts w:cstheme="minorHAnsi"/>
          <w:color w:val="2F5496" w:themeColor="accent1" w:themeShade="BF"/>
          <w:shd w:val="clear" w:color="auto" w:fill="FFFFFF"/>
        </w:rPr>
        <w:t>Q</w:t>
      </w:r>
      <w:r>
        <w:rPr>
          <w:rFonts w:cstheme="minorHAnsi"/>
          <w:color w:val="2F5496" w:themeColor="accent1" w:themeShade="BF"/>
          <w:shd w:val="clear" w:color="auto" w:fill="FFFFFF"/>
        </w:rPr>
        <w:t>13.</w:t>
      </w:r>
      <w:r w:rsidRPr="00707E2A">
        <w:rPr>
          <w:rFonts w:cstheme="minorHAnsi"/>
          <w:color w:val="2F5496" w:themeColor="accent1" w:themeShade="BF"/>
          <w:shd w:val="clear" w:color="auto" w:fill="FFFFFF"/>
        </w:rPr>
        <w:t xml:space="preserve"> How often have you seen clients use BNPL products in a way that benefits them?</w:t>
      </w:r>
    </w:p>
    <w:p w14:paraId="08F37D9D" w14:textId="77777777" w:rsidR="001702AE" w:rsidRPr="00380FD7" w:rsidRDefault="001702AE" w:rsidP="006B54C7">
      <w:pPr>
        <w:rPr>
          <w:color w:val="2F5496" w:themeColor="accent1" w:themeShade="BF"/>
          <w:sz w:val="22"/>
        </w:rPr>
      </w:pPr>
      <w:r w:rsidRPr="00380FD7">
        <w:rPr>
          <w:noProof/>
          <w:color w:val="2F5496" w:themeColor="accent1" w:themeShade="BF"/>
          <w:sz w:val="22"/>
        </w:rPr>
        <w:drawing>
          <wp:inline distT="0" distB="0" distL="0" distR="0" wp14:anchorId="244B04FC" wp14:editId="6D0B0ED6">
            <wp:extent cx="5191125" cy="1920935"/>
            <wp:effectExtent l="19050" t="19050" r="9525" b="222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249499" cy="1942536"/>
                    </a:xfrm>
                    <a:prstGeom prst="rect">
                      <a:avLst/>
                    </a:prstGeom>
                    <a:ln>
                      <a:solidFill>
                        <a:schemeClr val="accent1"/>
                      </a:solidFill>
                    </a:ln>
                  </pic:spPr>
                </pic:pic>
              </a:graphicData>
            </a:graphic>
          </wp:inline>
        </w:drawing>
      </w:r>
    </w:p>
    <w:p w14:paraId="002699B3" w14:textId="77777777" w:rsidR="001702AE" w:rsidRPr="00707E2A" w:rsidRDefault="001702AE" w:rsidP="006B54C7">
      <w:pPr>
        <w:spacing w:before="360"/>
        <w:rPr>
          <w:rFonts w:cstheme="minorHAnsi"/>
          <w:color w:val="2F5496" w:themeColor="accent1" w:themeShade="BF"/>
          <w:sz w:val="22"/>
        </w:rPr>
      </w:pPr>
      <w:r w:rsidRPr="00707E2A">
        <w:rPr>
          <w:rFonts w:cstheme="minorHAnsi"/>
          <w:color w:val="2F5496" w:themeColor="accent1" w:themeShade="BF"/>
          <w:shd w:val="clear" w:color="auto" w:fill="FFFFFF"/>
        </w:rPr>
        <w:t>Q</w:t>
      </w:r>
      <w:r>
        <w:rPr>
          <w:rFonts w:cstheme="minorHAnsi"/>
          <w:color w:val="2F5496" w:themeColor="accent1" w:themeShade="BF"/>
          <w:shd w:val="clear" w:color="auto" w:fill="FFFFFF"/>
        </w:rPr>
        <w:t>15.</w:t>
      </w:r>
      <w:r w:rsidRPr="00707E2A">
        <w:rPr>
          <w:rFonts w:cstheme="minorHAnsi"/>
          <w:color w:val="2F5496" w:themeColor="accent1" w:themeShade="BF"/>
          <w:shd w:val="clear" w:color="auto" w:fill="FFFFFF"/>
        </w:rPr>
        <w:t xml:space="preserve"> Thinking about your clients with BNPL debts, how many have taken out another BNPL loan in order to make BNPL repayments?</w:t>
      </w:r>
    </w:p>
    <w:p w14:paraId="63E31B34" w14:textId="77777777" w:rsidR="001702AE" w:rsidRDefault="001702AE" w:rsidP="006B54C7">
      <w:pPr>
        <w:rPr>
          <w:color w:val="2F5496" w:themeColor="accent1" w:themeShade="BF"/>
          <w:sz w:val="22"/>
        </w:rPr>
      </w:pPr>
      <w:r w:rsidRPr="00380FD7">
        <w:rPr>
          <w:noProof/>
          <w:color w:val="2F5496" w:themeColor="accent1" w:themeShade="BF"/>
          <w:sz w:val="22"/>
        </w:rPr>
        <w:drawing>
          <wp:inline distT="0" distB="0" distL="0" distR="0" wp14:anchorId="5C451908" wp14:editId="61DE3A52">
            <wp:extent cx="5143500" cy="1914137"/>
            <wp:effectExtent l="19050" t="19050" r="19050" b="1016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245623" cy="1952142"/>
                    </a:xfrm>
                    <a:prstGeom prst="rect">
                      <a:avLst/>
                    </a:prstGeom>
                    <a:ln>
                      <a:solidFill>
                        <a:schemeClr val="accent1"/>
                      </a:solidFill>
                    </a:ln>
                  </pic:spPr>
                </pic:pic>
              </a:graphicData>
            </a:graphic>
          </wp:inline>
        </w:drawing>
      </w:r>
    </w:p>
    <w:p w14:paraId="1A97760E" w14:textId="77777777" w:rsidR="001702AE" w:rsidRDefault="001702AE">
      <w:pPr>
        <w:spacing w:before="0" w:after="0"/>
        <w:rPr>
          <w:rFonts w:cstheme="minorHAnsi"/>
          <w:color w:val="2F5496" w:themeColor="accent1" w:themeShade="BF"/>
          <w:shd w:val="clear" w:color="auto" w:fill="FFFFFF"/>
        </w:rPr>
      </w:pPr>
      <w:r>
        <w:rPr>
          <w:rFonts w:cstheme="minorHAnsi"/>
          <w:color w:val="2F5496" w:themeColor="accent1" w:themeShade="BF"/>
          <w:shd w:val="clear" w:color="auto" w:fill="FFFFFF"/>
        </w:rPr>
        <w:br w:type="page"/>
      </w:r>
    </w:p>
    <w:p w14:paraId="3F98C8FC" w14:textId="77777777" w:rsidR="001702AE" w:rsidRPr="00707E2A" w:rsidRDefault="001702AE" w:rsidP="006B54C7">
      <w:pPr>
        <w:rPr>
          <w:rFonts w:cstheme="minorHAnsi"/>
          <w:color w:val="2F5496" w:themeColor="accent1" w:themeShade="BF"/>
          <w:shd w:val="clear" w:color="auto" w:fill="FFFFFF"/>
        </w:rPr>
      </w:pPr>
      <w:r w:rsidRPr="00707E2A">
        <w:rPr>
          <w:rFonts w:cstheme="minorHAnsi"/>
          <w:color w:val="2F5496" w:themeColor="accent1" w:themeShade="BF"/>
          <w:shd w:val="clear" w:color="auto" w:fill="FFFFFF"/>
        </w:rPr>
        <w:lastRenderedPageBreak/>
        <w:t>Q</w:t>
      </w:r>
      <w:r>
        <w:rPr>
          <w:rFonts w:cstheme="minorHAnsi"/>
          <w:color w:val="2F5496" w:themeColor="accent1" w:themeShade="BF"/>
          <w:shd w:val="clear" w:color="auto" w:fill="FFFFFF"/>
        </w:rPr>
        <w:t>17.</w:t>
      </w:r>
      <w:r w:rsidRPr="00707E2A">
        <w:rPr>
          <w:rFonts w:cstheme="minorHAnsi"/>
          <w:color w:val="2F5496" w:themeColor="accent1" w:themeShade="BF"/>
          <w:shd w:val="clear" w:color="auto" w:fill="FFFFFF"/>
        </w:rPr>
        <w:t xml:space="preserve"> Thinking about the hardship policies and practices of BNPL providers, how helpful are they overall?</w:t>
      </w:r>
    </w:p>
    <w:p w14:paraId="6363337A" w14:textId="77777777" w:rsidR="001702AE" w:rsidRDefault="001702AE" w:rsidP="006B54C7">
      <w:pPr>
        <w:rPr>
          <w:rFonts w:cstheme="minorHAnsi"/>
          <w:color w:val="2F5496" w:themeColor="accent1" w:themeShade="BF"/>
        </w:rPr>
      </w:pPr>
      <w:r w:rsidRPr="007433BF">
        <w:rPr>
          <w:rFonts w:cstheme="minorHAnsi"/>
          <w:noProof/>
          <w:color w:val="2F5496" w:themeColor="accent1" w:themeShade="BF"/>
        </w:rPr>
        <w:drawing>
          <wp:inline distT="0" distB="0" distL="0" distR="0" wp14:anchorId="257043A4" wp14:editId="5EDFBAFA">
            <wp:extent cx="5179695" cy="1927036"/>
            <wp:effectExtent l="19050" t="19050" r="20955" b="165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228223" cy="1945090"/>
                    </a:xfrm>
                    <a:prstGeom prst="rect">
                      <a:avLst/>
                    </a:prstGeom>
                    <a:ln>
                      <a:solidFill>
                        <a:schemeClr val="accent1"/>
                      </a:solidFill>
                    </a:ln>
                  </pic:spPr>
                </pic:pic>
              </a:graphicData>
            </a:graphic>
          </wp:inline>
        </w:drawing>
      </w:r>
    </w:p>
    <w:p w14:paraId="6FBAB78B" w14:textId="77777777" w:rsidR="001702AE" w:rsidRDefault="001702AE" w:rsidP="006B54C7">
      <w:pPr>
        <w:spacing w:before="360"/>
        <w:rPr>
          <w:rFonts w:cstheme="minorHAnsi"/>
          <w:i/>
          <w:noProof/>
          <w:color w:val="2F5496" w:themeColor="accent1" w:themeShade="BF"/>
        </w:rPr>
      </w:pPr>
      <w:r w:rsidRPr="00707E2A">
        <w:rPr>
          <w:rFonts w:ascii="Calibri" w:hAnsi="Calibri" w:cs="Calibri"/>
          <w:color w:val="2F5496" w:themeColor="accent1" w:themeShade="BF"/>
          <w:shd w:val="clear" w:color="auto" w:fill="FFFFFF"/>
        </w:rPr>
        <w:t>Q</w:t>
      </w:r>
      <w:r>
        <w:rPr>
          <w:rFonts w:ascii="Calibri" w:hAnsi="Calibri" w:cs="Calibri"/>
          <w:color w:val="2F5496" w:themeColor="accent1" w:themeShade="BF"/>
          <w:shd w:val="clear" w:color="auto" w:fill="FFFFFF"/>
        </w:rPr>
        <w:t>19.</w:t>
      </w:r>
      <w:r w:rsidRPr="00707E2A">
        <w:rPr>
          <w:rFonts w:ascii="Calibri" w:hAnsi="Calibri" w:cs="Calibri"/>
          <w:color w:val="2F5496" w:themeColor="accent1" w:themeShade="BF"/>
          <w:shd w:val="clear" w:color="auto" w:fill="FFFFFF"/>
        </w:rPr>
        <w:t xml:space="preserve"> Thinking about your clients with BNPL debts, how often have you worked with a client who was </w:t>
      </w:r>
      <w:r w:rsidRPr="00707E2A">
        <w:rPr>
          <w:rFonts w:ascii="Calibri" w:hAnsi="Calibri" w:cs="Calibri"/>
          <w:b/>
          <w:bCs/>
          <w:color w:val="2F5496" w:themeColor="accent1" w:themeShade="BF"/>
          <w:shd w:val="clear" w:color="auto" w:fill="FFFFFF"/>
        </w:rPr>
        <w:t>coerced</w:t>
      </w:r>
      <w:r w:rsidRPr="00707E2A">
        <w:rPr>
          <w:rFonts w:ascii="Calibri" w:hAnsi="Calibri" w:cs="Calibri"/>
          <w:color w:val="2F5496" w:themeColor="accent1" w:themeShade="BF"/>
          <w:shd w:val="clear" w:color="auto" w:fill="FFFFFF"/>
        </w:rPr>
        <w:t> into taking out a BNPL debt, or a BNPL debt was taken out </w:t>
      </w:r>
      <w:r w:rsidRPr="00707E2A">
        <w:rPr>
          <w:rFonts w:ascii="Calibri" w:hAnsi="Calibri" w:cs="Calibri"/>
          <w:b/>
          <w:bCs/>
          <w:color w:val="2F5496" w:themeColor="accent1" w:themeShade="BF"/>
          <w:shd w:val="clear" w:color="auto" w:fill="FFFFFF"/>
        </w:rPr>
        <w:t>without their knowledge</w:t>
      </w:r>
      <w:r w:rsidRPr="00707E2A">
        <w:rPr>
          <w:rFonts w:ascii="Calibri" w:hAnsi="Calibri" w:cs="Calibri"/>
          <w:color w:val="2F5496" w:themeColor="accent1" w:themeShade="BF"/>
          <w:shd w:val="clear" w:color="auto" w:fill="FFFFFF"/>
        </w:rPr>
        <w:t>, by their intimate partner or former intimate partner?</w:t>
      </w:r>
      <w:r w:rsidRPr="002C06C7">
        <w:rPr>
          <w:rFonts w:cstheme="minorHAnsi"/>
          <w:i/>
          <w:noProof/>
          <w:color w:val="2F5496" w:themeColor="accent1" w:themeShade="BF"/>
        </w:rPr>
        <w:t xml:space="preserve"> </w:t>
      </w:r>
    </w:p>
    <w:p w14:paraId="692042BC" w14:textId="77777777" w:rsidR="001702AE" w:rsidRPr="00707E2A" w:rsidRDefault="001702AE" w:rsidP="006B54C7">
      <w:pPr>
        <w:rPr>
          <w:rFonts w:ascii="Calibri" w:hAnsi="Calibri" w:cs="Calibri"/>
          <w:color w:val="2F5496" w:themeColor="accent1" w:themeShade="BF"/>
          <w:shd w:val="clear" w:color="auto" w:fill="FFFFFF"/>
        </w:rPr>
      </w:pPr>
      <w:r w:rsidRPr="007433BF">
        <w:rPr>
          <w:rFonts w:cstheme="minorHAnsi"/>
          <w:i/>
          <w:noProof/>
          <w:color w:val="2F5496" w:themeColor="accent1" w:themeShade="BF"/>
        </w:rPr>
        <w:drawing>
          <wp:inline distT="0" distB="0" distL="0" distR="0" wp14:anchorId="4814DED6" wp14:editId="63B5A5A9">
            <wp:extent cx="5179695" cy="2087716"/>
            <wp:effectExtent l="19050" t="19050" r="20955" b="273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223115" cy="2105217"/>
                    </a:xfrm>
                    <a:prstGeom prst="rect">
                      <a:avLst/>
                    </a:prstGeom>
                    <a:ln>
                      <a:solidFill>
                        <a:schemeClr val="accent1"/>
                      </a:solidFill>
                    </a:ln>
                  </pic:spPr>
                </pic:pic>
              </a:graphicData>
            </a:graphic>
          </wp:inline>
        </w:drawing>
      </w:r>
    </w:p>
    <w:p w14:paraId="15AD0E3A" w14:textId="77777777" w:rsidR="001702AE" w:rsidRDefault="001702AE" w:rsidP="006B54C7">
      <w:pPr>
        <w:rPr>
          <w:rFonts w:cstheme="minorHAnsi"/>
          <w:color w:val="2F5496" w:themeColor="accent1" w:themeShade="BF"/>
          <w:shd w:val="clear" w:color="auto" w:fill="FFFFFF"/>
        </w:rPr>
      </w:pPr>
    </w:p>
    <w:p w14:paraId="2B077813" w14:textId="77777777" w:rsidR="001702AE" w:rsidRPr="00707E2A" w:rsidRDefault="001702AE" w:rsidP="006B54C7">
      <w:pPr>
        <w:rPr>
          <w:rFonts w:cstheme="minorHAnsi"/>
          <w:color w:val="2F5496" w:themeColor="accent1" w:themeShade="BF"/>
          <w:shd w:val="clear" w:color="auto" w:fill="FFFFFF"/>
        </w:rPr>
      </w:pPr>
      <w:r w:rsidRPr="00707E2A">
        <w:rPr>
          <w:rFonts w:cstheme="minorHAnsi"/>
          <w:color w:val="2F5496" w:themeColor="accent1" w:themeShade="BF"/>
          <w:shd w:val="clear" w:color="auto" w:fill="FFFFFF"/>
        </w:rPr>
        <w:t>Q</w:t>
      </w:r>
      <w:r>
        <w:rPr>
          <w:rFonts w:cstheme="minorHAnsi"/>
          <w:color w:val="2F5496" w:themeColor="accent1" w:themeShade="BF"/>
          <w:shd w:val="clear" w:color="auto" w:fill="FFFFFF"/>
        </w:rPr>
        <w:t xml:space="preserve">21. </w:t>
      </w:r>
      <w:r w:rsidRPr="00707E2A">
        <w:rPr>
          <w:rFonts w:cstheme="minorHAnsi"/>
          <w:color w:val="2F5496" w:themeColor="accent1" w:themeShade="BF"/>
          <w:shd w:val="clear" w:color="auto" w:fill="FFFFFF"/>
        </w:rPr>
        <w:t>How many of your clients are using wage advance products?</w:t>
      </w:r>
    </w:p>
    <w:p w14:paraId="589642CC" w14:textId="77777777" w:rsidR="001702AE" w:rsidRDefault="001702AE" w:rsidP="006B54C7">
      <w:pPr>
        <w:rPr>
          <w:rFonts w:cstheme="minorHAnsi"/>
          <w:i/>
          <w:color w:val="2F5496" w:themeColor="accent1" w:themeShade="BF"/>
        </w:rPr>
      </w:pPr>
      <w:r w:rsidRPr="00331E76">
        <w:rPr>
          <w:rFonts w:cstheme="minorHAnsi"/>
          <w:i/>
          <w:noProof/>
          <w:color w:val="2F5496" w:themeColor="accent1" w:themeShade="BF"/>
        </w:rPr>
        <w:drawing>
          <wp:inline distT="0" distB="0" distL="0" distR="0" wp14:anchorId="4AA13024" wp14:editId="24C0B690">
            <wp:extent cx="5180274" cy="1981200"/>
            <wp:effectExtent l="19050" t="19050" r="2095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205407" cy="1990812"/>
                    </a:xfrm>
                    <a:prstGeom prst="rect">
                      <a:avLst/>
                    </a:prstGeom>
                    <a:ln w="6350">
                      <a:solidFill>
                        <a:schemeClr val="accent1"/>
                      </a:solidFill>
                    </a:ln>
                  </pic:spPr>
                </pic:pic>
              </a:graphicData>
            </a:graphic>
          </wp:inline>
        </w:drawing>
      </w:r>
    </w:p>
    <w:p w14:paraId="178D7A68" w14:textId="77777777" w:rsidR="001702AE" w:rsidRDefault="001702AE" w:rsidP="006B54C7">
      <w:pPr>
        <w:shd w:val="clear" w:color="auto" w:fill="FFFFFF"/>
        <w:spacing w:after="0"/>
        <w:rPr>
          <w:rFonts w:eastAsia="Times New Roman" w:cstheme="minorHAnsi"/>
          <w:color w:val="2F5496" w:themeColor="accent1" w:themeShade="BF"/>
          <w:szCs w:val="24"/>
          <w:lang w:eastAsia="en-AU"/>
        </w:rPr>
      </w:pPr>
    </w:p>
    <w:p w14:paraId="299DA9A5" w14:textId="77777777" w:rsidR="001702AE" w:rsidRDefault="001702AE" w:rsidP="006B54C7">
      <w:pPr>
        <w:rPr>
          <w:rFonts w:eastAsia="Times New Roman" w:cstheme="minorHAnsi"/>
          <w:color w:val="2F5496" w:themeColor="accent1" w:themeShade="BF"/>
          <w:szCs w:val="24"/>
          <w:lang w:eastAsia="en-AU"/>
        </w:rPr>
      </w:pPr>
      <w:r>
        <w:rPr>
          <w:rFonts w:eastAsia="Times New Roman" w:cstheme="minorHAnsi"/>
          <w:color w:val="2F5496" w:themeColor="accent1" w:themeShade="BF"/>
          <w:szCs w:val="24"/>
          <w:lang w:eastAsia="en-AU"/>
        </w:rPr>
        <w:br w:type="page"/>
      </w:r>
    </w:p>
    <w:p w14:paraId="2081EBD2" w14:textId="77777777" w:rsidR="001702AE" w:rsidRPr="00D4061E" w:rsidRDefault="001702AE" w:rsidP="006B54C7">
      <w:pPr>
        <w:shd w:val="clear" w:color="auto" w:fill="FFFFFF"/>
        <w:spacing w:after="0"/>
        <w:rPr>
          <w:rFonts w:eastAsia="Times New Roman" w:cstheme="minorHAnsi"/>
          <w:color w:val="212121"/>
          <w:szCs w:val="24"/>
          <w:lang w:eastAsia="en-AU"/>
        </w:rPr>
      </w:pPr>
      <w:r w:rsidRPr="00D4061E">
        <w:rPr>
          <w:rFonts w:eastAsia="Times New Roman" w:cstheme="minorHAnsi"/>
          <w:color w:val="2F5496" w:themeColor="accent1" w:themeShade="BF"/>
          <w:szCs w:val="24"/>
          <w:lang w:eastAsia="en-AU"/>
        </w:rPr>
        <w:lastRenderedPageBreak/>
        <w:t>Q</w:t>
      </w:r>
      <w:r>
        <w:rPr>
          <w:rFonts w:eastAsia="Times New Roman" w:cstheme="minorHAnsi"/>
          <w:color w:val="2F5496" w:themeColor="accent1" w:themeShade="BF"/>
          <w:szCs w:val="24"/>
          <w:lang w:eastAsia="en-AU"/>
        </w:rPr>
        <w:t>23.</w:t>
      </w:r>
      <w:r w:rsidRPr="00D4061E">
        <w:rPr>
          <w:rFonts w:eastAsia="Times New Roman" w:cstheme="minorHAnsi"/>
          <w:color w:val="2F5496" w:themeColor="accent1" w:themeShade="BF"/>
          <w:szCs w:val="24"/>
          <w:lang w:eastAsia="en-AU"/>
        </w:rPr>
        <w:t xml:space="preserve"> Do you think BNPL products need to be better regulated in Australia?</w:t>
      </w:r>
    </w:p>
    <w:p w14:paraId="334098B4" w14:textId="77777777" w:rsidR="001702AE" w:rsidRPr="00331E76" w:rsidRDefault="001702AE" w:rsidP="006B54C7">
      <w:pPr>
        <w:shd w:val="clear" w:color="auto" w:fill="FFFFFF"/>
        <w:spacing w:after="0"/>
        <w:rPr>
          <w:rFonts w:ascii="Segoe UI" w:eastAsia="Times New Roman" w:hAnsi="Segoe UI" w:cs="Segoe UI"/>
          <w:color w:val="212121"/>
          <w:szCs w:val="24"/>
          <w:lang w:eastAsia="en-AU"/>
        </w:rPr>
      </w:pPr>
    </w:p>
    <w:p w14:paraId="502EFAD2" w14:textId="77777777" w:rsidR="001702AE" w:rsidRDefault="001702AE" w:rsidP="006B54C7">
      <w:pPr>
        <w:rPr>
          <w:rFonts w:cstheme="minorHAnsi"/>
          <w:i/>
          <w:color w:val="2F5496" w:themeColor="accent1" w:themeShade="BF"/>
        </w:rPr>
      </w:pPr>
      <w:r w:rsidRPr="00331E76">
        <w:rPr>
          <w:noProof/>
        </w:rPr>
        <w:drawing>
          <wp:inline distT="0" distB="0" distL="0" distR="0" wp14:anchorId="102871DB" wp14:editId="7AA4933B">
            <wp:extent cx="5200650" cy="1472153"/>
            <wp:effectExtent l="19050" t="19050" r="19050" b="139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271742" cy="1492277"/>
                    </a:xfrm>
                    <a:prstGeom prst="rect">
                      <a:avLst/>
                    </a:prstGeom>
                    <a:ln>
                      <a:solidFill>
                        <a:schemeClr val="accent1"/>
                      </a:solidFill>
                    </a:ln>
                  </pic:spPr>
                </pic:pic>
              </a:graphicData>
            </a:graphic>
          </wp:inline>
        </w:drawing>
      </w:r>
    </w:p>
    <w:p w14:paraId="3559246E" w14:textId="77777777" w:rsidR="001702AE" w:rsidRDefault="001702AE" w:rsidP="006B54C7">
      <w:pPr>
        <w:rPr>
          <w:rFonts w:cstheme="minorHAnsi"/>
          <w:color w:val="2F5496" w:themeColor="accent1" w:themeShade="BF"/>
          <w:shd w:val="clear" w:color="auto" w:fill="FFFFFF"/>
        </w:rPr>
      </w:pPr>
    </w:p>
    <w:p w14:paraId="37D75725" w14:textId="77777777" w:rsidR="001702AE" w:rsidRPr="00D4061E" w:rsidRDefault="001702AE" w:rsidP="006B54C7">
      <w:pPr>
        <w:rPr>
          <w:rFonts w:cstheme="minorHAnsi"/>
          <w:color w:val="2F5496" w:themeColor="accent1" w:themeShade="BF"/>
          <w:shd w:val="clear" w:color="auto" w:fill="FFFFFF"/>
        </w:rPr>
      </w:pPr>
      <w:r w:rsidRPr="00D4061E">
        <w:rPr>
          <w:rFonts w:cstheme="minorHAnsi"/>
          <w:color w:val="2F5496" w:themeColor="accent1" w:themeShade="BF"/>
          <w:shd w:val="clear" w:color="auto" w:fill="FFFFFF"/>
        </w:rPr>
        <w:t>Q</w:t>
      </w:r>
      <w:r>
        <w:rPr>
          <w:rFonts w:cstheme="minorHAnsi"/>
          <w:color w:val="2F5496" w:themeColor="accent1" w:themeShade="BF"/>
          <w:shd w:val="clear" w:color="auto" w:fill="FFFFFF"/>
        </w:rPr>
        <w:t>25.</w:t>
      </w:r>
      <w:r w:rsidRPr="00D4061E">
        <w:rPr>
          <w:rFonts w:cstheme="minorHAnsi"/>
          <w:color w:val="2F5496" w:themeColor="accent1" w:themeShade="BF"/>
          <w:shd w:val="clear" w:color="auto" w:fill="FFFFFF"/>
        </w:rPr>
        <w:t xml:space="preserve"> How should BNPL products be regulated in Australia?</w:t>
      </w:r>
    </w:p>
    <w:p w14:paraId="5B36EF58" w14:textId="77777777" w:rsidR="001702AE" w:rsidRDefault="001702AE" w:rsidP="006B54C7">
      <w:pPr>
        <w:rPr>
          <w:rFonts w:cstheme="minorHAnsi"/>
          <w:color w:val="2F5496" w:themeColor="accent1" w:themeShade="BF"/>
        </w:rPr>
      </w:pPr>
      <w:r w:rsidRPr="005D07CC">
        <w:rPr>
          <w:rFonts w:cstheme="minorHAnsi"/>
          <w:noProof/>
          <w:color w:val="2F5496" w:themeColor="accent1" w:themeShade="BF"/>
        </w:rPr>
        <w:drawing>
          <wp:inline distT="0" distB="0" distL="0" distR="0" wp14:anchorId="16B132E0" wp14:editId="26F97958">
            <wp:extent cx="5200650" cy="1661883"/>
            <wp:effectExtent l="19050" t="19050" r="19050" b="146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224638" cy="1669548"/>
                    </a:xfrm>
                    <a:prstGeom prst="rect">
                      <a:avLst/>
                    </a:prstGeom>
                    <a:ln>
                      <a:solidFill>
                        <a:schemeClr val="accent1"/>
                      </a:solidFill>
                    </a:ln>
                  </pic:spPr>
                </pic:pic>
              </a:graphicData>
            </a:graphic>
          </wp:inline>
        </w:drawing>
      </w:r>
    </w:p>
    <w:p w14:paraId="6588F90E" w14:textId="77777777" w:rsidR="001702AE" w:rsidRDefault="001702AE" w:rsidP="006B54C7">
      <w:pPr>
        <w:rPr>
          <w:rFonts w:cstheme="minorHAnsi"/>
          <w:color w:val="2F5496" w:themeColor="accent1" w:themeShade="BF"/>
        </w:rPr>
      </w:pPr>
    </w:p>
    <w:p w14:paraId="52C7721D" w14:textId="77777777" w:rsidR="001702AE" w:rsidRDefault="001702AE" w:rsidP="006B54C7">
      <w:pPr>
        <w:rPr>
          <w:rFonts w:cstheme="minorHAnsi"/>
          <w:color w:val="2F5496" w:themeColor="accent1" w:themeShade="BF"/>
        </w:rPr>
      </w:pPr>
    </w:p>
    <w:p w14:paraId="4871AF2E" w14:textId="77777777" w:rsidR="001702AE" w:rsidRDefault="001702AE" w:rsidP="006B54C7">
      <w:pPr>
        <w:rPr>
          <w:rFonts w:cstheme="minorHAnsi"/>
          <w:color w:val="2F5496" w:themeColor="accent1" w:themeShade="BF"/>
        </w:rPr>
      </w:pPr>
    </w:p>
    <w:p w14:paraId="4C5A6016" w14:textId="77777777" w:rsidR="001702AE" w:rsidRDefault="001702AE" w:rsidP="006B54C7">
      <w:pPr>
        <w:rPr>
          <w:rFonts w:cstheme="minorHAnsi"/>
          <w:color w:val="2F5496" w:themeColor="accent1" w:themeShade="BF"/>
        </w:rPr>
      </w:pPr>
    </w:p>
    <w:p w14:paraId="422506CE" w14:textId="77777777" w:rsidR="001702AE" w:rsidRDefault="001702AE" w:rsidP="006B54C7">
      <w:pPr>
        <w:rPr>
          <w:rFonts w:cstheme="minorHAnsi"/>
          <w:color w:val="2F5496" w:themeColor="accent1" w:themeShade="BF"/>
        </w:rPr>
      </w:pPr>
    </w:p>
    <w:p w14:paraId="2182EC5F" w14:textId="77777777" w:rsidR="001702AE" w:rsidRPr="005D07CC" w:rsidRDefault="001702AE" w:rsidP="006B54C7">
      <w:pPr>
        <w:rPr>
          <w:rFonts w:eastAsiaTheme="majorEastAsia" w:cstheme="minorHAnsi"/>
          <w:i/>
          <w:color w:val="2F5496" w:themeColor="accent1" w:themeShade="BF"/>
          <w:sz w:val="22"/>
          <w:highlight w:val="lightGray"/>
        </w:rPr>
      </w:pPr>
      <w:r w:rsidRPr="005D07CC">
        <w:rPr>
          <w:rFonts w:cstheme="minorHAnsi"/>
          <w:i/>
          <w:sz w:val="22"/>
          <w:highlight w:val="lightGray"/>
        </w:rPr>
        <w:br w:type="page"/>
      </w:r>
    </w:p>
    <w:p w14:paraId="36B2C2B1" w14:textId="77777777" w:rsidR="001702AE" w:rsidRDefault="001702AE">
      <w:pPr>
        <w:pStyle w:val="Heading1"/>
      </w:pPr>
      <w:bookmarkStart w:id="124" w:name="_Toc131232905"/>
      <w:r>
        <w:lastRenderedPageBreak/>
        <w:t>References</w:t>
      </w:r>
      <w:bookmarkEnd w:id="124"/>
    </w:p>
    <w:p w14:paraId="02E3D366" w14:textId="77777777" w:rsidR="001702AE" w:rsidRPr="002F77D9" w:rsidRDefault="001702AE" w:rsidP="006B54C7">
      <w:pPr>
        <w:pStyle w:val="EndNoteBibliography"/>
      </w:pPr>
      <w:r w:rsidRPr="002F77D9">
        <w:t xml:space="preserve">ABS </w:t>
      </w:r>
      <w:r w:rsidRPr="002F77D9">
        <w:rPr>
          <w:i/>
        </w:rPr>
        <w:t>see</w:t>
      </w:r>
      <w:r w:rsidRPr="002F77D9">
        <w:t xml:space="preserve"> Australian Bureau of Statistics</w:t>
      </w:r>
    </w:p>
    <w:p w14:paraId="7931B463" w14:textId="77777777" w:rsidR="001702AE" w:rsidRPr="002F77D9" w:rsidRDefault="001702AE" w:rsidP="006B54C7">
      <w:pPr>
        <w:pStyle w:val="EndNoteBibliography"/>
        <w:spacing w:after="0"/>
      </w:pPr>
    </w:p>
    <w:p w14:paraId="02E22CFC" w14:textId="77777777" w:rsidR="001702AE" w:rsidRPr="002F77D9" w:rsidRDefault="001702AE" w:rsidP="006B54C7">
      <w:pPr>
        <w:pStyle w:val="EndNoteBibliography"/>
      </w:pPr>
      <w:r w:rsidRPr="002F77D9">
        <w:t xml:space="preserve">ACOSS </w:t>
      </w:r>
      <w:r w:rsidRPr="002F77D9">
        <w:rPr>
          <w:i/>
        </w:rPr>
        <w:t>see</w:t>
      </w:r>
      <w:r w:rsidRPr="002F77D9">
        <w:t xml:space="preserve"> Australian Council of Social Services</w:t>
      </w:r>
    </w:p>
    <w:p w14:paraId="39E4830F" w14:textId="77777777" w:rsidR="001702AE" w:rsidRPr="002F77D9" w:rsidRDefault="001702AE" w:rsidP="006B54C7">
      <w:pPr>
        <w:pStyle w:val="EndNoteBibliography"/>
        <w:spacing w:after="0"/>
      </w:pPr>
    </w:p>
    <w:p w14:paraId="0E84A32E" w14:textId="77777777" w:rsidR="001702AE" w:rsidRPr="002F77D9" w:rsidRDefault="001702AE" w:rsidP="006B54C7">
      <w:pPr>
        <w:pStyle w:val="EndNoteBibliography"/>
      </w:pPr>
      <w:r w:rsidRPr="002F77D9">
        <w:t xml:space="preserve">AIHW </w:t>
      </w:r>
      <w:r w:rsidRPr="002F77D9">
        <w:rPr>
          <w:i/>
        </w:rPr>
        <w:t>see</w:t>
      </w:r>
      <w:r w:rsidRPr="002F77D9">
        <w:t xml:space="preserve"> Australian Institute of Health and Welfare</w:t>
      </w:r>
    </w:p>
    <w:p w14:paraId="1174E631" w14:textId="77777777" w:rsidR="001702AE" w:rsidRPr="002F77D9" w:rsidRDefault="001702AE" w:rsidP="006B54C7">
      <w:pPr>
        <w:pStyle w:val="EndNoteBibliography"/>
        <w:spacing w:after="0"/>
      </w:pPr>
    </w:p>
    <w:p w14:paraId="4CAFAE68" w14:textId="77777777" w:rsidR="001702AE" w:rsidRPr="002F77D9" w:rsidRDefault="001702AE" w:rsidP="006B54C7">
      <w:pPr>
        <w:pStyle w:val="EndNoteBibliography"/>
      </w:pPr>
      <w:r w:rsidRPr="002F77D9">
        <w:t xml:space="preserve">Anglicare Tasmania 2018, </w:t>
      </w:r>
      <w:r w:rsidRPr="002F77D9">
        <w:rPr>
          <w:i/>
        </w:rPr>
        <w:t>Submission to the Senate Standing Economics References Committee Inquiry into Credit and Financial Services Targeted Australians at Risk of Financial Hardship</w:t>
      </w:r>
      <w:r w:rsidRPr="002F77D9">
        <w:t>, Anglicare Tasmania, Hobart.</w:t>
      </w:r>
    </w:p>
    <w:p w14:paraId="0AC2A600" w14:textId="77777777" w:rsidR="001702AE" w:rsidRPr="002F77D9" w:rsidRDefault="001702AE" w:rsidP="006B54C7">
      <w:pPr>
        <w:pStyle w:val="EndNoteBibliography"/>
        <w:spacing w:after="0"/>
      </w:pPr>
    </w:p>
    <w:p w14:paraId="6866F5C9" w14:textId="77777777" w:rsidR="001702AE" w:rsidRPr="002F77D9" w:rsidRDefault="001702AE" w:rsidP="006B54C7">
      <w:pPr>
        <w:pStyle w:val="EndNoteBibliography"/>
      </w:pPr>
      <w:r w:rsidRPr="002F77D9">
        <w:t xml:space="preserve">ASIC </w:t>
      </w:r>
      <w:r w:rsidRPr="002F77D9">
        <w:rPr>
          <w:i/>
        </w:rPr>
        <w:t>see</w:t>
      </w:r>
      <w:r w:rsidRPr="002F77D9">
        <w:t xml:space="preserve"> Australian Securities and Investment Commission</w:t>
      </w:r>
    </w:p>
    <w:p w14:paraId="50F00B2B" w14:textId="77777777" w:rsidR="001702AE" w:rsidRPr="002F77D9" w:rsidRDefault="001702AE" w:rsidP="006B54C7">
      <w:pPr>
        <w:pStyle w:val="EndNoteBibliography"/>
        <w:spacing w:after="0"/>
      </w:pPr>
    </w:p>
    <w:p w14:paraId="23E940B9" w14:textId="77777777" w:rsidR="001702AE" w:rsidRPr="002F77D9" w:rsidRDefault="001702AE" w:rsidP="006B54C7">
      <w:pPr>
        <w:pStyle w:val="EndNoteBibliography"/>
      </w:pPr>
      <w:r w:rsidRPr="002F77D9">
        <w:t xml:space="preserve">Australian Bureau of Statistics 2020, </w:t>
      </w:r>
      <w:r w:rsidRPr="002F77D9">
        <w:rPr>
          <w:i/>
        </w:rPr>
        <w:t>Psychosocial disability: 2018 Survey of Disabilty, Ageing and Carers (SDAC)</w:t>
      </w:r>
      <w:r w:rsidRPr="002F77D9">
        <w:t xml:space="preserve">, viewed March 2023, </w:t>
      </w:r>
      <w:hyperlink r:id="rId144" w:history="1">
        <w:r w:rsidRPr="001702AE">
          <w:rPr>
            <w:rStyle w:val="Hyperlink"/>
            <w:rFonts w:ascii="Calibri" w:hAnsi="Calibri"/>
          </w:rPr>
          <w:t>https://www.abs.gov.au/articles/psychosocial-disability</w:t>
        </w:r>
      </w:hyperlink>
      <w:r w:rsidRPr="002F77D9">
        <w:t>.</w:t>
      </w:r>
    </w:p>
    <w:p w14:paraId="4664B35A" w14:textId="77777777" w:rsidR="001702AE" w:rsidRPr="002F77D9" w:rsidRDefault="001702AE" w:rsidP="006B54C7">
      <w:pPr>
        <w:pStyle w:val="EndNoteBibliography"/>
        <w:spacing w:after="0"/>
      </w:pPr>
    </w:p>
    <w:p w14:paraId="20415BBD" w14:textId="77777777" w:rsidR="001702AE" w:rsidRPr="002F77D9" w:rsidRDefault="001702AE" w:rsidP="006B54C7">
      <w:pPr>
        <w:pStyle w:val="EndNoteBibliography"/>
      </w:pPr>
      <w:r w:rsidRPr="002F77D9">
        <w:t xml:space="preserve">--- 2021, </w:t>
      </w:r>
      <w:r w:rsidRPr="002F77D9">
        <w:rPr>
          <w:i/>
        </w:rPr>
        <w:t>Prisoners in Australia</w:t>
      </w:r>
      <w:r w:rsidRPr="002F77D9">
        <w:t xml:space="preserve">, viewed March 2023, </w:t>
      </w:r>
      <w:hyperlink r:id="rId145" w:history="1">
        <w:r w:rsidRPr="001702AE">
          <w:rPr>
            <w:rStyle w:val="Hyperlink"/>
            <w:rFonts w:ascii="Calibri" w:hAnsi="Calibri"/>
          </w:rPr>
          <w:t>https://www.abs.gov.au/statistics/people/crime-and-justice/prisoners-australia/2021</w:t>
        </w:r>
      </w:hyperlink>
      <w:r w:rsidRPr="002F77D9">
        <w:t>.</w:t>
      </w:r>
    </w:p>
    <w:p w14:paraId="0669258D" w14:textId="77777777" w:rsidR="001702AE" w:rsidRPr="002F77D9" w:rsidRDefault="001702AE" w:rsidP="006B54C7">
      <w:pPr>
        <w:pStyle w:val="EndNoteBibliography"/>
        <w:spacing w:after="0"/>
      </w:pPr>
    </w:p>
    <w:p w14:paraId="0AD23511" w14:textId="77777777" w:rsidR="001702AE" w:rsidRPr="002F77D9" w:rsidRDefault="001702AE" w:rsidP="006B54C7">
      <w:pPr>
        <w:pStyle w:val="EndNoteBibliography"/>
      </w:pPr>
      <w:r w:rsidRPr="002F77D9">
        <w:t xml:space="preserve">--- 2022a, </w:t>
      </w:r>
      <w:r w:rsidRPr="002F77D9">
        <w:rPr>
          <w:i/>
        </w:rPr>
        <w:t>Tasmania: 2021 Census All persons QuickStats</w:t>
      </w:r>
      <w:r w:rsidRPr="002F77D9">
        <w:t xml:space="preserve">, viewed March 2023, </w:t>
      </w:r>
      <w:hyperlink r:id="rId146" w:history="1">
        <w:r w:rsidRPr="001702AE">
          <w:rPr>
            <w:rStyle w:val="Hyperlink"/>
            <w:rFonts w:ascii="Calibri" w:hAnsi="Calibri"/>
          </w:rPr>
          <w:t>https://www.abs.gov.au/census/find-census-data/quickstats/2021/6</w:t>
        </w:r>
      </w:hyperlink>
      <w:r w:rsidRPr="002F77D9">
        <w:t>.</w:t>
      </w:r>
    </w:p>
    <w:p w14:paraId="3D4A9269" w14:textId="77777777" w:rsidR="001702AE" w:rsidRPr="002F77D9" w:rsidRDefault="001702AE" w:rsidP="006B54C7">
      <w:pPr>
        <w:pStyle w:val="EndNoteBibliography"/>
        <w:spacing w:after="0"/>
      </w:pPr>
    </w:p>
    <w:p w14:paraId="70DF99B0" w14:textId="77777777" w:rsidR="001702AE" w:rsidRPr="002F77D9" w:rsidRDefault="001702AE" w:rsidP="006B54C7">
      <w:pPr>
        <w:pStyle w:val="EndNoteBibliography"/>
      </w:pPr>
      <w:r w:rsidRPr="002F77D9">
        <w:t xml:space="preserve">--- 2022b, </w:t>
      </w:r>
      <w:r w:rsidRPr="002F77D9">
        <w:rPr>
          <w:i/>
        </w:rPr>
        <w:t>Tasmania: Aboriginal and Torres Strait Islander population summary</w:t>
      </w:r>
      <w:r w:rsidRPr="002F77D9">
        <w:t xml:space="preserve">, viewed March 2023, </w:t>
      </w:r>
      <w:hyperlink r:id="rId147" w:history="1">
        <w:r w:rsidRPr="001702AE">
          <w:rPr>
            <w:rStyle w:val="Hyperlink"/>
            <w:rFonts w:ascii="Calibri" w:hAnsi="Calibri"/>
          </w:rPr>
          <w:t>https://www.abs.gov.au/articles/tasmania-aboriginal-and-torres-strait-islander-population-summary</w:t>
        </w:r>
      </w:hyperlink>
      <w:r w:rsidRPr="002F77D9">
        <w:t>.</w:t>
      </w:r>
    </w:p>
    <w:p w14:paraId="4D17E315" w14:textId="77777777" w:rsidR="001702AE" w:rsidRPr="002F77D9" w:rsidRDefault="001702AE" w:rsidP="006B54C7">
      <w:pPr>
        <w:pStyle w:val="EndNoteBibliography"/>
        <w:spacing w:after="0"/>
      </w:pPr>
    </w:p>
    <w:p w14:paraId="286F7712" w14:textId="77777777" w:rsidR="001702AE" w:rsidRPr="002F77D9" w:rsidRDefault="001702AE" w:rsidP="006B54C7">
      <w:pPr>
        <w:pStyle w:val="EndNoteBibliography"/>
      </w:pPr>
      <w:r w:rsidRPr="002F77D9">
        <w:t xml:space="preserve">--- 2023, </w:t>
      </w:r>
      <w:r w:rsidRPr="002F77D9">
        <w:rPr>
          <w:i/>
        </w:rPr>
        <w:t>Estimating Homelessness: Census 2021</w:t>
      </w:r>
      <w:r w:rsidRPr="002F77D9">
        <w:t xml:space="preserve">, viewed March 2023, </w:t>
      </w:r>
      <w:hyperlink r:id="rId148" w:history="1">
        <w:r w:rsidRPr="001702AE">
          <w:rPr>
            <w:rStyle w:val="Hyperlink"/>
            <w:rFonts w:ascii="Calibri" w:hAnsi="Calibri"/>
          </w:rPr>
          <w:t>https://www.abs.gov.au/statistics/people/housing/estimating-homelessness-census/2021</w:t>
        </w:r>
      </w:hyperlink>
      <w:r w:rsidRPr="002F77D9">
        <w:t>.</w:t>
      </w:r>
    </w:p>
    <w:p w14:paraId="5737AA3B" w14:textId="77777777" w:rsidR="001702AE" w:rsidRPr="002F77D9" w:rsidRDefault="001702AE" w:rsidP="006B54C7">
      <w:pPr>
        <w:pStyle w:val="EndNoteBibliography"/>
        <w:spacing w:after="0"/>
      </w:pPr>
    </w:p>
    <w:p w14:paraId="0D8A7839" w14:textId="77777777" w:rsidR="001702AE" w:rsidRPr="002F77D9" w:rsidRDefault="001702AE" w:rsidP="006B54C7">
      <w:pPr>
        <w:pStyle w:val="EndNoteBibliography"/>
      </w:pPr>
      <w:r w:rsidRPr="002F77D9">
        <w:t xml:space="preserve">Australian Council of Social Services 2022, </w:t>
      </w:r>
      <w:r w:rsidRPr="002F77D9">
        <w:rPr>
          <w:i/>
        </w:rPr>
        <w:t>How JobSeeker and other income support payments are falling behind the cost of living</w:t>
      </w:r>
      <w:r w:rsidRPr="002F77D9">
        <w:t>, ACOSS, Sydney.</w:t>
      </w:r>
    </w:p>
    <w:p w14:paraId="1432CD92" w14:textId="77777777" w:rsidR="001702AE" w:rsidRPr="002F77D9" w:rsidRDefault="001702AE" w:rsidP="006B54C7">
      <w:pPr>
        <w:pStyle w:val="EndNoteBibliography"/>
        <w:spacing w:after="0"/>
      </w:pPr>
    </w:p>
    <w:p w14:paraId="7C05099D" w14:textId="77777777" w:rsidR="001702AE" w:rsidRPr="002F77D9" w:rsidRDefault="001702AE" w:rsidP="006B54C7">
      <w:pPr>
        <w:pStyle w:val="EndNoteBibliography"/>
      </w:pPr>
      <w:r w:rsidRPr="002F77D9">
        <w:t xml:space="preserve">Australian Institute of Health and Welfare 2021, </w:t>
      </w:r>
      <w:r w:rsidRPr="002F77D9">
        <w:rPr>
          <w:i/>
        </w:rPr>
        <w:t>Australia's youth: Material deprivation and financial stress</w:t>
      </w:r>
      <w:r w:rsidRPr="002F77D9">
        <w:t xml:space="preserve">, viewed March 2023, </w:t>
      </w:r>
      <w:hyperlink r:id="rId149" w:history="1">
        <w:r w:rsidRPr="001702AE">
          <w:rPr>
            <w:rStyle w:val="Hyperlink"/>
            <w:rFonts w:ascii="Calibri" w:hAnsi="Calibri"/>
          </w:rPr>
          <w:t>https://www.aihw.gov.au/reports/children-youth/material-deprivation-and-financial-stress</w:t>
        </w:r>
      </w:hyperlink>
      <w:r w:rsidRPr="002F77D9">
        <w:t>.</w:t>
      </w:r>
    </w:p>
    <w:p w14:paraId="684ED959" w14:textId="77777777" w:rsidR="001702AE" w:rsidRPr="002F77D9" w:rsidRDefault="001702AE" w:rsidP="006B54C7">
      <w:pPr>
        <w:pStyle w:val="EndNoteBibliography"/>
        <w:spacing w:after="0"/>
      </w:pPr>
    </w:p>
    <w:p w14:paraId="33F51B5A" w14:textId="77777777" w:rsidR="001702AE" w:rsidRPr="002F77D9" w:rsidRDefault="001702AE" w:rsidP="006B54C7">
      <w:pPr>
        <w:pStyle w:val="EndNoteBibliography"/>
      </w:pPr>
      <w:r w:rsidRPr="002F77D9">
        <w:t xml:space="preserve">--- 2022a, </w:t>
      </w:r>
      <w:r w:rsidRPr="002F77D9">
        <w:rPr>
          <w:i/>
        </w:rPr>
        <w:t>Mental health: Prevalence and impact</w:t>
      </w:r>
      <w:r w:rsidRPr="002F77D9">
        <w:t xml:space="preserve">, viewed March 2023, </w:t>
      </w:r>
      <w:hyperlink r:id="rId150" w:history="1">
        <w:r w:rsidRPr="001702AE">
          <w:rPr>
            <w:rStyle w:val="Hyperlink"/>
            <w:rFonts w:ascii="Calibri" w:hAnsi="Calibri"/>
          </w:rPr>
          <w:t>https://www.aihw.gov.au/reports/mental-health-services/mental-health</w:t>
        </w:r>
      </w:hyperlink>
      <w:r w:rsidRPr="002F77D9">
        <w:t>.</w:t>
      </w:r>
    </w:p>
    <w:p w14:paraId="5D271460" w14:textId="77777777" w:rsidR="001702AE" w:rsidRPr="002F77D9" w:rsidRDefault="001702AE" w:rsidP="006B54C7">
      <w:pPr>
        <w:pStyle w:val="EndNoteBibliography"/>
        <w:spacing w:after="0"/>
      </w:pPr>
    </w:p>
    <w:p w14:paraId="3F45880F" w14:textId="77777777" w:rsidR="001702AE" w:rsidRPr="002F77D9" w:rsidRDefault="001702AE" w:rsidP="006B54C7">
      <w:pPr>
        <w:pStyle w:val="EndNoteBibliography"/>
      </w:pPr>
      <w:r w:rsidRPr="002F77D9">
        <w:t xml:space="preserve">--- 2022b, </w:t>
      </w:r>
      <w:r w:rsidRPr="002F77D9">
        <w:rPr>
          <w:i/>
        </w:rPr>
        <w:t>Psychosocial disability support: Key concepts</w:t>
      </w:r>
      <w:r w:rsidRPr="002F77D9">
        <w:t xml:space="preserve">, viewed March 2023, </w:t>
      </w:r>
      <w:hyperlink r:id="rId151" w:history="1">
        <w:r w:rsidRPr="001702AE">
          <w:rPr>
            <w:rStyle w:val="Hyperlink"/>
            <w:rFonts w:ascii="Calibri" w:hAnsi="Calibri"/>
          </w:rPr>
          <w:t>https://www.aihw.gov.au/mental-health/topic-areas/psychosocial-disability-support</w:t>
        </w:r>
      </w:hyperlink>
      <w:r w:rsidRPr="002F77D9">
        <w:t>.</w:t>
      </w:r>
    </w:p>
    <w:p w14:paraId="6981717A" w14:textId="77777777" w:rsidR="001702AE" w:rsidRPr="002F77D9" w:rsidRDefault="001702AE" w:rsidP="006B54C7">
      <w:pPr>
        <w:pStyle w:val="EndNoteBibliography"/>
        <w:spacing w:after="0"/>
      </w:pPr>
    </w:p>
    <w:p w14:paraId="25EB40D8" w14:textId="77777777" w:rsidR="001702AE" w:rsidRPr="002F77D9" w:rsidRDefault="001702AE" w:rsidP="006B54C7">
      <w:pPr>
        <w:pStyle w:val="EndNoteBibliography"/>
      </w:pPr>
      <w:r w:rsidRPr="002F77D9">
        <w:t xml:space="preserve">Australian Securities and Investment Commission 2020, </w:t>
      </w:r>
      <w:r w:rsidRPr="002F77D9">
        <w:rPr>
          <w:i/>
        </w:rPr>
        <w:t>Buy now pay later: An industry update</w:t>
      </w:r>
      <w:r w:rsidRPr="002F77D9">
        <w:t>, ASIC, Canberra.</w:t>
      </w:r>
    </w:p>
    <w:p w14:paraId="4D236B0C" w14:textId="77777777" w:rsidR="001702AE" w:rsidRPr="002F77D9" w:rsidRDefault="001702AE" w:rsidP="006B54C7">
      <w:pPr>
        <w:pStyle w:val="EndNoteBibliography"/>
        <w:spacing w:after="0"/>
      </w:pPr>
    </w:p>
    <w:p w14:paraId="62CE7743" w14:textId="77777777" w:rsidR="001702AE" w:rsidRPr="002F77D9" w:rsidRDefault="001702AE" w:rsidP="006B54C7">
      <w:pPr>
        <w:pStyle w:val="EndNoteBibliography"/>
      </w:pPr>
      <w:r w:rsidRPr="002F77D9">
        <w:lastRenderedPageBreak/>
        <w:t xml:space="preserve">Best, R 2022, "Refining policies for financial stress", </w:t>
      </w:r>
      <w:r w:rsidRPr="002F77D9">
        <w:rPr>
          <w:i/>
        </w:rPr>
        <w:t>Australian Journal of Public Administration</w:t>
      </w:r>
      <w:r w:rsidRPr="002F77D9">
        <w:t>, vol. 81, no. 4, pp. 531-548.</w:t>
      </w:r>
    </w:p>
    <w:p w14:paraId="25C21F41" w14:textId="77777777" w:rsidR="001702AE" w:rsidRPr="002F77D9" w:rsidRDefault="001702AE" w:rsidP="006B54C7">
      <w:pPr>
        <w:pStyle w:val="EndNoteBibliography"/>
        <w:spacing w:after="0"/>
      </w:pPr>
    </w:p>
    <w:p w14:paraId="2335D941" w14:textId="77777777" w:rsidR="001702AE" w:rsidRPr="002F77D9" w:rsidRDefault="001702AE" w:rsidP="006B54C7">
      <w:pPr>
        <w:pStyle w:val="EndNoteBibliography"/>
      </w:pPr>
      <w:r w:rsidRPr="002F77D9">
        <w:t xml:space="preserve">Botha, F, Butterworth, P &amp; Wilkins, R 2022, "Protecting mental health during periods of financial stress: Evidence from the Australian Coronavirus Supplement income support payment", </w:t>
      </w:r>
      <w:r w:rsidRPr="002F77D9">
        <w:rPr>
          <w:i/>
        </w:rPr>
        <w:t>Social Science &amp; Medicine</w:t>
      </w:r>
      <w:r w:rsidRPr="002F77D9">
        <w:t>, vol. 306, p. 115158.</w:t>
      </w:r>
    </w:p>
    <w:p w14:paraId="63DC67E1" w14:textId="77777777" w:rsidR="001702AE" w:rsidRPr="002F77D9" w:rsidRDefault="001702AE" w:rsidP="006B54C7">
      <w:pPr>
        <w:pStyle w:val="EndNoteBibliography"/>
        <w:spacing w:after="0"/>
      </w:pPr>
    </w:p>
    <w:p w14:paraId="198A17B4" w14:textId="77777777" w:rsidR="001702AE" w:rsidRPr="002F77D9" w:rsidRDefault="001702AE" w:rsidP="006B54C7">
      <w:pPr>
        <w:pStyle w:val="EndNoteBibliography"/>
      </w:pPr>
      <w:r w:rsidRPr="002F77D9">
        <w:t xml:space="preserve">Boyle, CM, Joshi, A &amp; Jenkinson, R 2021, </w:t>
      </w:r>
      <w:r w:rsidRPr="002F77D9">
        <w:rPr>
          <w:i/>
        </w:rPr>
        <w:t>Understanding gambling harm and ways to identify those at risk</w:t>
      </w:r>
      <w:r w:rsidRPr="002F77D9">
        <w:t xml:space="preserve">, viewed March 2023, </w:t>
      </w:r>
      <w:hyperlink r:id="rId152" w:history="1">
        <w:r w:rsidRPr="001702AE">
          <w:rPr>
            <w:rStyle w:val="Hyperlink"/>
            <w:rFonts w:ascii="Calibri" w:hAnsi="Calibri"/>
          </w:rPr>
          <w:t>https://aifs.gov.au/resources/short-articles/understanding-gambling-harm-and-ways-identify-those-risk</w:t>
        </w:r>
      </w:hyperlink>
      <w:r w:rsidRPr="002F77D9">
        <w:t>.</w:t>
      </w:r>
    </w:p>
    <w:p w14:paraId="61BC1C9F" w14:textId="77777777" w:rsidR="001702AE" w:rsidRPr="002F77D9" w:rsidRDefault="001702AE" w:rsidP="006B54C7">
      <w:pPr>
        <w:pStyle w:val="EndNoteBibliography"/>
        <w:spacing w:after="0"/>
      </w:pPr>
    </w:p>
    <w:p w14:paraId="08A2DD80" w14:textId="77777777" w:rsidR="001702AE" w:rsidRPr="002F77D9" w:rsidRDefault="001702AE" w:rsidP="006B54C7">
      <w:pPr>
        <w:pStyle w:val="EndNoteBibliography"/>
      </w:pPr>
      <w:r w:rsidRPr="002F77D9">
        <w:t xml:space="preserve">Brackertz, N 2012, </w:t>
      </w:r>
      <w:r w:rsidRPr="002F77D9">
        <w:rPr>
          <w:i/>
        </w:rPr>
        <w:t>I wish I'd known sooner! The impact of financial counselling on debt resolution and personal wellbeing</w:t>
      </w:r>
      <w:r w:rsidRPr="002F77D9">
        <w:t>, Salvation Army, Melbourne.</w:t>
      </w:r>
    </w:p>
    <w:p w14:paraId="6B1833E4" w14:textId="77777777" w:rsidR="001702AE" w:rsidRPr="002F77D9" w:rsidRDefault="001702AE" w:rsidP="006B54C7">
      <w:pPr>
        <w:pStyle w:val="EndNoteBibliography"/>
        <w:spacing w:after="0"/>
      </w:pPr>
    </w:p>
    <w:p w14:paraId="1A8B9B1B" w14:textId="77777777" w:rsidR="001702AE" w:rsidRPr="002F77D9" w:rsidRDefault="001702AE" w:rsidP="006B54C7">
      <w:pPr>
        <w:pStyle w:val="EndNoteBibliography"/>
      </w:pPr>
      <w:r w:rsidRPr="002F77D9">
        <w:t xml:space="preserve">Camp, M 2022, "Inquire now, regulate later: Australia’s light-touch approach to regulating buy-now-pay-later products", </w:t>
      </w:r>
      <w:r w:rsidRPr="002F77D9">
        <w:rPr>
          <w:i/>
        </w:rPr>
        <w:t>Australian Journal of Competition and Consumer Law</w:t>
      </w:r>
      <w:r w:rsidRPr="002F77D9">
        <w:t>, vol. 30, no. 2, pp. 121-128.</w:t>
      </w:r>
    </w:p>
    <w:p w14:paraId="78CA1639" w14:textId="77777777" w:rsidR="001702AE" w:rsidRPr="002F77D9" w:rsidRDefault="001702AE" w:rsidP="006B54C7">
      <w:pPr>
        <w:pStyle w:val="EndNoteBibliography"/>
        <w:spacing w:after="0"/>
      </w:pPr>
    </w:p>
    <w:p w14:paraId="7BC38A7B" w14:textId="77777777" w:rsidR="001702AE" w:rsidRPr="002F77D9" w:rsidRDefault="001702AE" w:rsidP="006B54C7">
      <w:pPr>
        <w:pStyle w:val="EndNoteBibliography"/>
      </w:pPr>
      <w:r w:rsidRPr="002F77D9">
        <w:t xml:space="preserve">Close Lending Loopholes Coalition 2022, </w:t>
      </w:r>
      <w:r w:rsidRPr="002F77D9">
        <w:rPr>
          <w:i/>
        </w:rPr>
        <w:t xml:space="preserve">Close the Lending Loopholes: Joint Consumer Submission to Treasury </w:t>
      </w:r>
    </w:p>
    <w:p w14:paraId="17A4819A" w14:textId="77777777" w:rsidR="001702AE" w:rsidRPr="002F77D9" w:rsidRDefault="001702AE" w:rsidP="006B54C7">
      <w:pPr>
        <w:pStyle w:val="EndNoteBibliography"/>
        <w:spacing w:after="0"/>
      </w:pPr>
    </w:p>
    <w:p w14:paraId="1D0CC099" w14:textId="77777777" w:rsidR="001702AE" w:rsidRPr="002F77D9" w:rsidRDefault="001702AE" w:rsidP="006B54C7">
      <w:pPr>
        <w:pStyle w:val="EndNoteBibliography"/>
      </w:pPr>
      <w:r w:rsidRPr="002F77D9">
        <w:t xml:space="preserve">Coffey, J, Senior, K, Haro, A, Farrugia, D, Threadgold, S, Cook, J, Davies, K &amp; Shannon, B 2023, "Embodying debt: Youth, consumer credit and its impacts for wellbeing", </w:t>
      </w:r>
      <w:r w:rsidRPr="002F77D9">
        <w:rPr>
          <w:i/>
        </w:rPr>
        <w:t>Journal of Youth Studies</w:t>
      </w:r>
      <w:r w:rsidRPr="002F77D9">
        <w:t>, pp. 1-21.</w:t>
      </w:r>
    </w:p>
    <w:p w14:paraId="0D456448" w14:textId="77777777" w:rsidR="001702AE" w:rsidRPr="002F77D9" w:rsidRDefault="001702AE" w:rsidP="006B54C7">
      <w:pPr>
        <w:pStyle w:val="EndNoteBibliography"/>
        <w:spacing w:after="0"/>
      </w:pPr>
    </w:p>
    <w:p w14:paraId="3A24E890" w14:textId="77777777" w:rsidR="001702AE" w:rsidRPr="002F77D9" w:rsidRDefault="001702AE" w:rsidP="006B54C7">
      <w:pPr>
        <w:pStyle w:val="EndNoteBibliography"/>
      </w:pPr>
      <w:r w:rsidRPr="002F77D9">
        <w:t xml:space="preserve">Commonwealth of Australia 2019, </w:t>
      </w:r>
      <w:r w:rsidRPr="002F77D9">
        <w:rPr>
          <w:i/>
        </w:rPr>
        <w:t>Royal Commission into Misconduct in the Banking, Superannuation and Financial Services Industry: Final Report</w:t>
      </w:r>
      <w:r w:rsidRPr="002F77D9">
        <w:t>, Canberra.</w:t>
      </w:r>
    </w:p>
    <w:p w14:paraId="34FA9DF3" w14:textId="77777777" w:rsidR="001702AE" w:rsidRPr="002F77D9" w:rsidRDefault="001702AE" w:rsidP="006B54C7">
      <w:pPr>
        <w:pStyle w:val="EndNoteBibliography"/>
        <w:spacing w:after="0"/>
      </w:pPr>
    </w:p>
    <w:p w14:paraId="0D8A519E" w14:textId="77777777" w:rsidR="001702AE" w:rsidRPr="002F77D9" w:rsidRDefault="001702AE" w:rsidP="006B54C7">
      <w:pPr>
        <w:pStyle w:val="EndNoteBibliography"/>
      </w:pPr>
      <w:r w:rsidRPr="002F77D9">
        <w:t xml:space="preserve">Connolly, C 2014, </w:t>
      </w:r>
      <w:r w:rsidRPr="002F77D9">
        <w:rPr>
          <w:i/>
        </w:rPr>
        <w:t>Measuring financial exclusion in Australia</w:t>
      </w:r>
      <w:r w:rsidRPr="002F77D9">
        <w:t>, Centre for Social Impact &amp; National Australia Bank, Sydney.</w:t>
      </w:r>
    </w:p>
    <w:p w14:paraId="0E69C1D0" w14:textId="77777777" w:rsidR="001702AE" w:rsidRPr="002F77D9" w:rsidRDefault="001702AE" w:rsidP="006B54C7">
      <w:pPr>
        <w:pStyle w:val="EndNoteBibliography"/>
        <w:spacing w:after="0"/>
      </w:pPr>
    </w:p>
    <w:p w14:paraId="0A3D10DF" w14:textId="77777777" w:rsidR="001702AE" w:rsidRPr="002F77D9" w:rsidRDefault="001702AE" w:rsidP="006B54C7">
      <w:pPr>
        <w:pStyle w:val="EndNoteBibliography"/>
      </w:pPr>
      <w:r w:rsidRPr="002F77D9">
        <w:t xml:space="preserve">Department of Education 2022, </w:t>
      </w:r>
      <w:r w:rsidRPr="002F77D9">
        <w:rPr>
          <w:i/>
        </w:rPr>
        <w:t>Benefits of educational attainment: Income</w:t>
      </w:r>
      <w:r w:rsidRPr="002F77D9">
        <w:t xml:space="preserve">, viewed March 2023, </w:t>
      </w:r>
      <w:hyperlink r:id="rId153" w:history="1">
        <w:r w:rsidRPr="001702AE">
          <w:rPr>
            <w:rStyle w:val="Hyperlink"/>
            <w:rFonts w:ascii="Calibri" w:hAnsi="Calibri"/>
          </w:rPr>
          <w:t>https://www.education.gov.au/integrated-data-research/benefits-educational-attainment/income</w:t>
        </w:r>
      </w:hyperlink>
      <w:r w:rsidRPr="002F77D9">
        <w:t>.</w:t>
      </w:r>
    </w:p>
    <w:p w14:paraId="63BCF95A" w14:textId="77777777" w:rsidR="001702AE" w:rsidRPr="002F77D9" w:rsidRDefault="001702AE" w:rsidP="006B54C7">
      <w:pPr>
        <w:pStyle w:val="EndNoteBibliography"/>
        <w:spacing w:after="0"/>
      </w:pPr>
    </w:p>
    <w:p w14:paraId="63B6D054" w14:textId="77777777" w:rsidR="001702AE" w:rsidRPr="002F77D9" w:rsidRDefault="001702AE" w:rsidP="006B54C7">
      <w:pPr>
        <w:pStyle w:val="EndNoteBibliography"/>
      </w:pPr>
      <w:r w:rsidRPr="002F77D9">
        <w:t xml:space="preserve">Duong, L, Taylor, G &amp; Eulaiwi, B 2022, </w:t>
      </w:r>
      <w:r w:rsidRPr="002F77D9">
        <w:rPr>
          <w:i/>
        </w:rPr>
        <w:t>Comparative analysis of credit card interest rates vs BNPL fees in the consumer credit market</w:t>
      </w:r>
      <w:r w:rsidRPr="002F77D9">
        <w:t>, Financial Counselling Australia, Melbourne.</w:t>
      </w:r>
    </w:p>
    <w:p w14:paraId="77631029" w14:textId="77777777" w:rsidR="001702AE" w:rsidRPr="002F77D9" w:rsidRDefault="001702AE" w:rsidP="006B54C7">
      <w:pPr>
        <w:pStyle w:val="EndNoteBibliography"/>
        <w:spacing w:after="0"/>
      </w:pPr>
    </w:p>
    <w:p w14:paraId="2E6FF972" w14:textId="77777777" w:rsidR="001702AE" w:rsidRPr="002F77D9" w:rsidRDefault="001702AE" w:rsidP="006B54C7">
      <w:pPr>
        <w:pStyle w:val="EndNoteBibliography"/>
      </w:pPr>
      <w:r w:rsidRPr="002F77D9">
        <w:t xml:space="preserve">Financial Counselling Australia 2021, </w:t>
      </w:r>
      <w:r w:rsidRPr="002F77D9">
        <w:rPr>
          <w:i/>
        </w:rPr>
        <w:t>It’s credit, it’s causing harm and it needs better safeguards: What financial counsellors say about Buy Now, Pay Later</w:t>
      </w:r>
      <w:r w:rsidRPr="002F77D9">
        <w:t>, FCA, Melbourne.</w:t>
      </w:r>
    </w:p>
    <w:p w14:paraId="18C14A55" w14:textId="77777777" w:rsidR="001702AE" w:rsidRPr="002F77D9" w:rsidRDefault="001702AE" w:rsidP="006B54C7">
      <w:pPr>
        <w:pStyle w:val="EndNoteBibliography"/>
        <w:spacing w:after="0"/>
      </w:pPr>
    </w:p>
    <w:p w14:paraId="4A4D5008" w14:textId="77777777" w:rsidR="001702AE" w:rsidRPr="002F77D9" w:rsidRDefault="001702AE" w:rsidP="006B54C7">
      <w:pPr>
        <w:pStyle w:val="EndNoteBibliography"/>
      </w:pPr>
      <w:r w:rsidRPr="002F77D9">
        <w:t xml:space="preserve">Good Shepherd 2022, </w:t>
      </w:r>
      <w:r w:rsidRPr="002F77D9">
        <w:rPr>
          <w:i/>
        </w:rPr>
        <w:t>Safety net for sale: The role of Buy Now Pay Later in exploiting financial vulnerability</w:t>
      </w:r>
      <w:r w:rsidRPr="002F77D9">
        <w:t>, Good Shepherd Australia New Zealand.</w:t>
      </w:r>
    </w:p>
    <w:p w14:paraId="130422BE" w14:textId="77777777" w:rsidR="001702AE" w:rsidRPr="002F77D9" w:rsidRDefault="001702AE" w:rsidP="006B54C7">
      <w:pPr>
        <w:pStyle w:val="EndNoteBibliography"/>
        <w:spacing w:after="0"/>
      </w:pPr>
    </w:p>
    <w:p w14:paraId="20B592B7" w14:textId="77777777" w:rsidR="001702AE" w:rsidRPr="002F77D9" w:rsidRDefault="001702AE" w:rsidP="006B54C7">
      <w:pPr>
        <w:pStyle w:val="EndNoteBibliography"/>
      </w:pPr>
      <w:r w:rsidRPr="002F77D9">
        <w:t xml:space="preserve">Guan, N, Guariglia, A, Moore, P, Xu, F &amp; Al-Janabi, H 2022, "Financial stress and depression in adults: A systematic review", </w:t>
      </w:r>
      <w:r w:rsidRPr="002F77D9">
        <w:rPr>
          <w:i/>
        </w:rPr>
        <w:t>Plos ONE</w:t>
      </w:r>
      <w:r w:rsidRPr="002F77D9">
        <w:t>, vol. 17, no. 2.</w:t>
      </w:r>
    </w:p>
    <w:p w14:paraId="70CA3917" w14:textId="77777777" w:rsidR="001702AE" w:rsidRPr="002F77D9" w:rsidRDefault="001702AE" w:rsidP="006B54C7">
      <w:pPr>
        <w:pStyle w:val="EndNoteBibliography"/>
        <w:spacing w:after="0"/>
      </w:pPr>
    </w:p>
    <w:p w14:paraId="18FD138E" w14:textId="77777777" w:rsidR="001702AE" w:rsidRPr="002F77D9" w:rsidRDefault="001702AE" w:rsidP="006B54C7">
      <w:pPr>
        <w:pStyle w:val="EndNoteBibliography"/>
      </w:pPr>
      <w:r w:rsidRPr="002F77D9">
        <w:t xml:space="preserve">Hartfree, Y &amp; Collard, S 2015, "Locating credit and debt within an anti-poverty strategy for the UK", </w:t>
      </w:r>
      <w:r w:rsidRPr="002F77D9">
        <w:rPr>
          <w:i/>
        </w:rPr>
        <w:t>Journal of Poverty and Social Justice</w:t>
      </w:r>
      <w:r w:rsidRPr="002F77D9">
        <w:t>, vol. 23, no. 3, pp. 203-214.</w:t>
      </w:r>
    </w:p>
    <w:p w14:paraId="3FE3ED27" w14:textId="77777777" w:rsidR="001702AE" w:rsidRPr="002F77D9" w:rsidRDefault="001702AE" w:rsidP="006B54C7">
      <w:pPr>
        <w:pStyle w:val="EndNoteBibliography"/>
        <w:spacing w:after="0"/>
      </w:pPr>
    </w:p>
    <w:p w14:paraId="260DBE59" w14:textId="77777777" w:rsidR="001702AE" w:rsidRPr="002F77D9" w:rsidRDefault="001702AE" w:rsidP="006B54C7">
      <w:pPr>
        <w:pStyle w:val="EndNoteBibliography"/>
      </w:pPr>
      <w:r w:rsidRPr="002F77D9">
        <w:t xml:space="preserve">Heartward Strategic 2022, </w:t>
      </w:r>
      <w:r w:rsidRPr="002F77D9">
        <w:rPr>
          <w:i/>
        </w:rPr>
        <w:t>Money and mental health: Social research report</w:t>
      </w:r>
      <w:r w:rsidRPr="002F77D9">
        <w:t>, Heartward Strategic.</w:t>
      </w:r>
    </w:p>
    <w:p w14:paraId="784C1340" w14:textId="77777777" w:rsidR="001702AE" w:rsidRPr="002F77D9" w:rsidRDefault="001702AE" w:rsidP="006B54C7">
      <w:pPr>
        <w:pStyle w:val="EndNoteBibliography"/>
        <w:spacing w:after="0"/>
      </w:pPr>
    </w:p>
    <w:p w14:paraId="198B83ED" w14:textId="77777777" w:rsidR="001702AE" w:rsidRPr="002F77D9" w:rsidRDefault="001702AE" w:rsidP="006B54C7">
      <w:pPr>
        <w:pStyle w:val="EndNoteBibliography"/>
      </w:pPr>
      <w:r w:rsidRPr="002F77D9">
        <w:t xml:space="preserve">Johnson, D, Rodwell, J &amp; Hendry, T 2021, "Analyzing the impacts of financial services regulation to make the case that buy-now-pay-later regulation is failing", </w:t>
      </w:r>
      <w:r w:rsidRPr="002F77D9">
        <w:rPr>
          <w:i/>
        </w:rPr>
        <w:t>Sustainability</w:t>
      </w:r>
      <w:r w:rsidRPr="002F77D9">
        <w:t>, vol. 13, no. 4, p. 1992.</w:t>
      </w:r>
    </w:p>
    <w:p w14:paraId="1850D060" w14:textId="77777777" w:rsidR="001702AE" w:rsidRPr="002F77D9" w:rsidRDefault="001702AE" w:rsidP="006B54C7">
      <w:pPr>
        <w:pStyle w:val="EndNoteBibliography"/>
        <w:spacing w:after="0"/>
      </w:pPr>
    </w:p>
    <w:p w14:paraId="6F56ABF8" w14:textId="77777777" w:rsidR="001702AE" w:rsidRPr="002F77D9" w:rsidRDefault="001702AE" w:rsidP="006B54C7">
      <w:pPr>
        <w:pStyle w:val="EndNoteBibliography"/>
      </w:pPr>
      <w:r w:rsidRPr="002F77D9">
        <w:t xml:space="preserve">Livingstone, C, Kotnik, E &amp; King, S 2008, </w:t>
      </w:r>
      <w:r w:rsidRPr="002F77D9">
        <w:rPr>
          <w:i/>
        </w:rPr>
        <w:t>Comparing Australian and international approaches to financial counselling service models: Literature review</w:t>
      </w:r>
      <w:r w:rsidRPr="002F77D9">
        <w:t>, Monash University, Melbourne.</w:t>
      </w:r>
    </w:p>
    <w:p w14:paraId="6B1032AA" w14:textId="77777777" w:rsidR="001702AE" w:rsidRPr="002F77D9" w:rsidRDefault="001702AE" w:rsidP="006B54C7">
      <w:pPr>
        <w:pStyle w:val="EndNoteBibliography"/>
        <w:spacing w:after="0"/>
      </w:pPr>
    </w:p>
    <w:p w14:paraId="6774A169" w14:textId="77777777" w:rsidR="001702AE" w:rsidRPr="002F77D9" w:rsidRDefault="001702AE" w:rsidP="006B54C7">
      <w:pPr>
        <w:pStyle w:val="EndNoteBibliography"/>
      </w:pPr>
      <w:r w:rsidRPr="002F77D9">
        <w:t xml:space="preserve">Mahmoudi, P, Hordacre, A-L &amp; Spoehr, J 2014, </w:t>
      </w:r>
      <w:r w:rsidRPr="002F77D9">
        <w:rPr>
          <w:i/>
        </w:rPr>
        <w:t>Paying it forward: Cost benefit analysis of the Wyatt Trust funded financial counselling services</w:t>
      </w:r>
      <w:r w:rsidRPr="002F77D9">
        <w:t>, University of Adelaide.</w:t>
      </w:r>
    </w:p>
    <w:p w14:paraId="00612A84" w14:textId="77777777" w:rsidR="001702AE" w:rsidRPr="002F77D9" w:rsidRDefault="001702AE" w:rsidP="006B54C7">
      <w:pPr>
        <w:pStyle w:val="EndNoteBibliography"/>
        <w:spacing w:after="0"/>
      </w:pPr>
    </w:p>
    <w:p w14:paraId="2AA8B69D" w14:textId="77777777" w:rsidR="001702AE" w:rsidRPr="002F77D9" w:rsidRDefault="001702AE" w:rsidP="006B54C7">
      <w:pPr>
        <w:pStyle w:val="EndNoteBibliography"/>
      </w:pPr>
      <w:r w:rsidRPr="002F77D9">
        <w:t xml:space="preserve">NSW Council of Social Service 2021, </w:t>
      </w:r>
      <w:r w:rsidRPr="002F77D9">
        <w:rPr>
          <w:i/>
        </w:rPr>
        <w:t>Young People and BNPL: An NCOSS "Cost of Living in NSW" Report</w:t>
      </w:r>
      <w:r w:rsidRPr="002F77D9">
        <w:t>, NCOSS, Sydney.</w:t>
      </w:r>
    </w:p>
    <w:p w14:paraId="25726268" w14:textId="77777777" w:rsidR="001702AE" w:rsidRPr="002F77D9" w:rsidRDefault="001702AE" w:rsidP="006B54C7">
      <w:pPr>
        <w:pStyle w:val="EndNoteBibliography"/>
        <w:spacing w:after="0"/>
      </w:pPr>
    </w:p>
    <w:p w14:paraId="3035E894" w14:textId="77777777" w:rsidR="001702AE" w:rsidRPr="002F77D9" w:rsidRDefault="001702AE" w:rsidP="006B54C7">
      <w:pPr>
        <w:pStyle w:val="EndNoteBibliography"/>
      </w:pPr>
      <w:r w:rsidRPr="002F77D9">
        <w:t xml:space="preserve">Pollard, CM, Booth, S, Louth, J, Mackenzie, C &amp; Goodwin‐Smith, I 2020, "'I'd be sleeping in the park, I reckon': Lived experience of using financial counselling services in South Australia", </w:t>
      </w:r>
      <w:r w:rsidRPr="002F77D9">
        <w:rPr>
          <w:i/>
        </w:rPr>
        <w:t>Economic Papers: A Journal of Applied Economics and Policy</w:t>
      </w:r>
      <w:r w:rsidRPr="002F77D9">
        <w:t>, vol. 39, no. 4, pp. 353-366.</w:t>
      </w:r>
    </w:p>
    <w:p w14:paraId="1F284378" w14:textId="77777777" w:rsidR="001702AE" w:rsidRPr="002F77D9" w:rsidRDefault="001702AE" w:rsidP="006B54C7">
      <w:pPr>
        <w:pStyle w:val="EndNoteBibliography"/>
        <w:spacing w:after="0"/>
      </w:pPr>
    </w:p>
    <w:p w14:paraId="66B113EE" w14:textId="77777777" w:rsidR="001702AE" w:rsidRPr="002F77D9" w:rsidRDefault="001702AE" w:rsidP="006B54C7">
      <w:pPr>
        <w:pStyle w:val="EndNoteBibliography"/>
      </w:pPr>
      <w:r w:rsidRPr="002F77D9">
        <w:t xml:space="preserve">Sylvan, L 2019, </w:t>
      </w:r>
      <w:r w:rsidRPr="002F77D9">
        <w:rPr>
          <w:i/>
        </w:rPr>
        <w:t>The countervailing power: Review of the coordination and funding for financial counselling services across Australia</w:t>
      </w:r>
      <w:r w:rsidRPr="002F77D9">
        <w:t>, Department of Social Services, Canberra.</w:t>
      </w:r>
    </w:p>
    <w:p w14:paraId="32567A49" w14:textId="77777777" w:rsidR="001702AE" w:rsidRPr="002F77D9" w:rsidRDefault="001702AE" w:rsidP="006B54C7">
      <w:pPr>
        <w:pStyle w:val="EndNoteBibliography"/>
        <w:spacing w:after="0"/>
      </w:pPr>
    </w:p>
    <w:p w14:paraId="3A9E20C8" w14:textId="77777777" w:rsidR="001702AE" w:rsidRPr="002F77D9" w:rsidRDefault="001702AE" w:rsidP="006B54C7">
      <w:pPr>
        <w:pStyle w:val="EndNoteBibliography"/>
      </w:pPr>
      <w:r w:rsidRPr="002F77D9">
        <w:t xml:space="preserve">Tasmanian Government 2019, </w:t>
      </w:r>
      <w:r w:rsidRPr="002F77D9">
        <w:rPr>
          <w:i/>
        </w:rPr>
        <w:t>Safe Homes, Families, Communities: Tasmania's Action Plan for Family and Sexual Violence 2019-2022</w:t>
      </w:r>
      <w:r w:rsidRPr="002F77D9">
        <w:t>, Tasmanian Government, Hobart.</w:t>
      </w:r>
    </w:p>
    <w:p w14:paraId="5F5C5F76" w14:textId="77777777" w:rsidR="001702AE" w:rsidRPr="002F77D9" w:rsidRDefault="001702AE" w:rsidP="006B54C7">
      <w:pPr>
        <w:pStyle w:val="EndNoteBibliography"/>
        <w:spacing w:after="0"/>
      </w:pPr>
    </w:p>
    <w:p w14:paraId="75C724A8" w14:textId="77777777" w:rsidR="001702AE" w:rsidRPr="002F77D9" w:rsidRDefault="001702AE" w:rsidP="006B54C7">
      <w:pPr>
        <w:pStyle w:val="EndNoteBibliography"/>
      </w:pPr>
      <w:r w:rsidRPr="002F77D9">
        <w:t xml:space="preserve">Taylor, J 2022, "Women struggle to get federal government’s $5,000 payment to escape domestic violence", </w:t>
      </w:r>
      <w:r w:rsidRPr="002F77D9">
        <w:rPr>
          <w:i/>
        </w:rPr>
        <w:t>The Guardian</w:t>
      </w:r>
      <w:r w:rsidRPr="002F77D9">
        <w:t xml:space="preserve">, 3 April. </w:t>
      </w:r>
    </w:p>
    <w:p w14:paraId="73D6255B" w14:textId="77777777" w:rsidR="001702AE" w:rsidRPr="002F77D9" w:rsidRDefault="001702AE" w:rsidP="006B54C7">
      <w:pPr>
        <w:pStyle w:val="EndNoteBibliography"/>
        <w:spacing w:after="0"/>
      </w:pPr>
    </w:p>
    <w:p w14:paraId="79641CA6" w14:textId="77777777" w:rsidR="001702AE" w:rsidRPr="002F77D9" w:rsidRDefault="001702AE" w:rsidP="006B54C7">
      <w:pPr>
        <w:pStyle w:val="EndNoteBibliography"/>
      </w:pPr>
      <w:r w:rsidRPr="002F77D9">
        <w:t xml:space="preserve">Treasury 2022a, </w:t>
      </w:r>
      <w:r w:rsidRPr="002F77D9">
        <w:rPr>
          <w:i/>
        </w:rPr>
        <w:t>National Financial Capability Strategy</w:t>
      </w:r>
      <w:r w:rsidRPr="002F77D9">
        <w:t>, Australian Government, Canberra.</w:t>
      </w:r>
    </w:p>
    <w:p w14:paraId="10AC119B" w14:textId="77777777" w:rsidR="001702AE" w:rsidRPr="002F77D9" w:rsidRDefault="001702AE" w:rsidP="006B54C7">
      <w:pPr>
        <w:pStyle w:val="EndNoteBibliography"/>
        <w:spacing w:after="0"/>
      </w:pPr>
    </w:p>
    <w:p w14:paraId="342C202E" w14:textId="77777777" w:rsidR="001702AE" w:rsidRPr="002F77D9" w:rsidRDefault="001702AE" w:rsidP="006B54C7">
      <w:pPr>
        <w:pStyle w:val="EndNoteBibliography"/>
      </w:pPr>
      <w:r w:rsidRPr="002F77D9">
        <w:t xml:space="preserve">--- 2022b, </w:t>
      </w:r>
      <w:r w:rsidRPr="002F77D9">
        <w:rPr>
          <w:i/>
        </w:rPr>
        <w:t>Regulating buy now, pay later in Australia: Options Paper</w:t>
      </w:r>
      <w:r w:rsidRPr="002F77D9">
        <w:t>, Australian Government, Canberra.</w:t>
      </w:r>
    </w:p>
    <w:p w14:paraId="1BDB5962" w14:textId="77777777" w:rsidR="001702AE" w:rsidRPr="002F77D9" w:rsidRDefault="001702AE" w:rsidP="006B54C7">
      <w:pPr>
        <w:pStyle w:val="EndNoteBibliography"/>
        <w:spacing w:after="0"/>
      </w:pPr>
    </w:p>
    <w:p w14:paraId="4900C1D1" w14:textId="77777777" w:rsidR="001702AE" w:rsidRPr="002F77D9" w:rsidRDefault="001702AE" w:rsidP="006B54C7">
      <w:pPr>
        <w:pStyle w:val="EndNoteBibliography"/>
      </w:pPr>
      <w:r w:rsidRPr="002F77D9">
        <w:t xml:space="preserve">Way Forward 2022, </w:t>
      </w:r>
      <w:r w:rsidRPr="002F77D9">
        <w:rPr>
          <w:i/>
        </w:rPr>
        <w:t>Balancing Act: Exploring how financially vulnerable people juggle their debt, BNPL and household finances: Client Survey 2022</w:t>
      </w:r>
      <w:r w:rsidRPr="002F77D9">
        <w:t>, Way Forward, Melbourne.</w:t>
      </w:r>
    </w:p>
    <w:p w14:paraId="3D185820" w14:textId="77777777" w:rsidR="001702AE" w:rsidRPr="002F77D9" w:rsidRDefault="001702AE" w:rsidP="006B54C7">
      <w:pPr>
        <w:pStyle w:val="EndNoteBibliography"/>
        <w:spacing w:after="0"/>
      </w:pPr>
    </w:p>
    <w:p w14:paraId="69F99E5C" w14:textId="77777777" w:rsidR="001702AE" w:rsidRPr="002F77D9" w:rsidRDefault="001702AE" w:rsidP="006B54C7">
      <w:pPr>
        <w:pStyle w:val="EndNoteBibliography"/>
      </w:pPr>
      <w:r w:rsidRPr="002F77D9">
        <w:t xml:space="preserve">Women’s Information and Referral Exchange (WIRE) n.d., </w:t>
      </w:r>
      <w:r w:rsidRPr="002F77D9">
        <w:rPr>
          <w:i/>
        </w:rPr>
        <w:t>Money Problems with Your Partner: WIRE Information Booklet</w:t>
      </w:r>
      <w:r w:rsidRPr="002F77D9">
        <w:t>, WIRE, West Melbourne.</w:t>
      </w:r>
    </w:p>
    <w:p w14:paraId="283D2E5A" w14:textId="77777777" w:rsidR="001702AE" w:rsidRPr="002F77D9" w:rsidRDefault="001702AE" w:rsidP="006B54C7">
      <w:pPr>
        <w:pStyle w:val="EndNoteBibliography"/>
      </w:pPr>
    </w:p>
    <w:p w14:paraId="4E2800FF" w14:textId="77777777" w:rsidR="001702AE" w:rsidRDefault="001702AE" w:rsidP="006B54C7">
      <w:pPr>
        <w:rPr>
          <w:rFonts w:ascii="AvenirNextLTPro-Demi"/>
          <w:b/>
          <w:sz w:val="27"/>
        </w:rPr>
      </w:pPr>
    </w:p>
    <w:p w14:paraId="6FBB095B" w14:textId="77777777" w:rsidR="006B54C7" w:rsidRDefault="006B54C7"/>
    <w:sectPr w:rsidR="006B54C7">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843B9" w14:textId="77777777" w:rsidR="006B54C7" w:rsidRDefault="006B54C7" w:rsidP="001702AE">
      <w:pPr>
        <w:spacing w:before="0" w:after="0"/>
      </w:pPr>
      <w:r>
        <w:separator/>
      </w:r>
    </w:p>
  </w:endnote>
  <w:endnote w:type="continuationSeparator" w:id="0">
    <w:p w14:paraId="692E1C85" w14:textId="77777777" w:rsidR="006B54C7" w:rsidRDefault="006B54C7" w:rsidP="001702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0060690"/>
      <w:docPartObj>
        <w:docPartGallery w:val="Page Numbers (Bottom of Page)"/>
        <w:docPartUnique/>
      </w:docPartObj>
    </w:sdtPr>
    <w:sdtEndPr>
      <w:rPr>
        <w:rStyle w:val="PageNumber"/>
      </w:rPr>
    </w:sdtEndPr>
    <w:sdtContent>
      <w:p w14:paraId="5CCCB7AD" w14:textId="77777777" w:rsidR="006B54C7" w:rsidRDefault="006B54C7" w:rsidP="006B54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4AF5D1D" w14:textId="77777777" w:rsidR="006B54C7" w:rsidRDefault="006B54C7" w:rsidP="006B54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740C" w14:textId="77777777" w:rsidR="006B54C7" w:rsidRPr="00C61F11" w:rsidRDefault="006B54C7" w:rsidP="006B54C7">
    <w:pPr>
      <w:pStyle w:val="Footer"/>
      <w:jc w:val="right"/>
      <w:rPr>
        <w:sz w:val="18"/>
        <w:szCs w:val="18"/>
      </w:rPr>
    </w:pPr>
    <w:r>
      <w:rPr>
        <w:sz w:val="18"/>
        <w:szCs w:val="18"/>
      </w:rPr>
      <w:t xml:space="preserve">BUY NOW, STRUGGLE LATER? </w:t>
    </w:r>
    <w:r w:rsidRPr="00C61F11">
      <w:rPr>
        <w:sz w:val="18"/>
        <w:szCs w:val="18"/>
      </w:rPr>
      <w:t xml:space="preserve">| </w:t>
    </w:r>
    <w:r w:rsidRPr="00C61F11">
      <w:rPr>
        <w:rFonts w:cs="Times New Roman"/>
        <w:sz w:val="18"/>
        <w:szCs w:val="18"/>
        <w:lang w:val="en-GB"/>
      </w:rPr>
      <w:fldChar w:fldCharType="begin"/>
    </w:r>
    <w:r w:rsidRPr="00C61F11">
      <w:rPr>
        <w:rFonts w:cs="Times New Roman"/>
        <w:sz w:val="18"/>
        <w:szCs w:val="18"/>
        <w:lang w:val="en-GB"/>
      </w:rPr>
      <w:instrText xml:space="preserve"> PAGE </w:instrText>
    </w:r>
    <w:r w:rsidRPr="00C61F11">
      <w:rPr>
        <w:rFonts w:cs="Times New Roman"/>
        <w:sz w:val="18"/>
        <w:szCs w:val="18"/>
        <w:lang w:val="en-GB"/>
      </w:rPr>
      <w:fldChar w:fldCharType="separate"/>
    </w:r>
    <w:r w:rsidRPr="00C61F11">
      <w:rPr>
        <w:rFonts w:cs="Times New Roman"/>
        <w:noProof/>
        <w:sz w:val="18"/>
        <w:szCs w:val="18"/>
        <w:lang w:val="en-GB"/>
      </w:rPr>
      <w:t>2</w:t>
    </w:r>
    <w:r w:rsidRPr="00C61F11">
      <w:rPr>
        <w:rFonts w:cs="Times New Roman"/>
        <w:sz w:val="18"/>
        <w:szCs w:val="18"/>
        <w:lang w:val="en-GB"/>
      </w:rPr>
      <w:fldChar w:fldCharType="end"/>
    </w:r>
    <w:r w:rsidRPr="00C61F11">
      <w:rPr>
        <w:rFonts w:cs="Times New Roman"/>
        <w:sz w:val="18"/>
        <w:szCs w:val="18"/>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0E0C3" w14:textId="77777777" w:rsidR="006B54C7" w:rsidRDefault="006B54C7" w:rsidP="001702AE">
      <w:pPr>
        <w:spacing w:before="0" w:after="0"/>
      </w:pPr>
      <w:r>
        <w:separator/>
      </w:r>
    </w:p>
  </w:footnote>
  <w:footnote w:type="continuationSeparator" w:id="0">
    <w:p w14:paraId="5B10923E" w14:textId="77777777" w:rsidR="006B54C7" w:rsidRDefault="006B54C7" w:rsidP="001702AE">
      <w:pPr>
        <w:spacing w:before="0" w:after="0"/>
      </w:pPr>
      <w:r>
        <w:continuationSeparator/>
      </w:r>
    </w:p>
  </w:footnote>
  <w:footnote w:id="1">
    <w:p w14:paraId="2FACACB3" w14:textId="77777777" w:rsidR="006B54C7" w:rsidRPr="00AF140E" w:rsidRDefault="006B54C7" w:rsidP="006B54C7">
      <w:pPr>
        <w:pStyle w:val="FootnoteText"/>
        <w:rPr>
          <w:rFonts w:ascii="Avenir Next" w:hAnsi="Avenir Next"/>
        </w:rPr>
      </w:pPr>
      <w:r w:rsidRPr="00AF140E">
        <w:rPr>
          <w:rStyle w:val="FootnoteReference"/>
          <w:rFonts w:ascii="Avenir Next" w:hAnsi="Avenir Next"/>
          <w:color w:val="575F61"/>
        </w:rPr>
        <w:footnoteRef/>
      </w:r>
      <w:r w:rsidRPr="00AF140E">
        <w:rPr>
          <w:rFonts w:ascii="Avenir Next" w:hAnsi="Avenir Next"/>
          <w:color w:val="575F61"/>
        </w:rPr>
        <w:t xml:space="preserve"> Refer to the Glossary for an explanation of this term.</w:t>
      </w:r>
    </w:p>
  </w:footnote>
  <w:footnote w:id="2">
    <w:p w14:paraId="0E6A2AF8" w14:textId="77777777" w:rsidR="006B54C7" w:rsidRDefault="006B54C7" w:rsidP="006B54C7">
      <w:pPr>
        <w:pStyle w:val="FootnoteText"/>
      </w:pPr>
      <w:r w:rsidRPr="00AF140E">
        <w:rPr>
          <w:rStyle w:val="FootnoteReference"/>
          <w:color w:val="575F61"/>
        </w:rPr>
        <w:footnoteRef/>
      </w:r>
      <w:r w:rsidRPr="00AF140E">
        <w:rPr>
          <w:color w:val="575F61"/>
        </w:rPr>
        <w:t xml:space="preserve"> </w:t>
      </w:r>
      <w:r w:rsidRPr="00AF140E">
        <w:rPr>
          <w:rFonts w:ascii="Avenir Next" w:hAnsi="Avenir Next"/>
          <w:color w:val="575F61"/>
        </w:rPr>
        <w:t xml:space="preserve">Refer to Box 3 of this report or download Treasury’s </w:t>
      </w:r>
      <w:r w:rsidRPr="00AF140E">
        <w:rPr>
          <w:rFonts w:ascii="Avenir Next" w:hAnsi="Avenir Next"/>
          <w:i/>
          <w:color w:val="575F61"/>
        </w:rPr>
        <w:t>Option Paper</w:t>
      </w:r>
      <w:r w:rsidRPr="00AF140E">
        <w:rPr>
          <w:rFonts w:ascii="Avenir Next" w:hAnsi="Avenir Next"/>
          <w:color w:val="575F61"/>
        </w:rPr>
        <w:t xml:space="preserve"> here: </w:t>
      </w:r>
      <w:hyperlink r:id="rId1" w:history="1">
        <w:r w:rsidRPr="00AF140E">
          <w:rPr>
            <w:rStyle w:val="Hyperlink"/>
            <w:rFonts w:ascii="Avenir Next" w:hAnsi="Avenir Next"/>
          </w:rPr>
          <w:t>https://treasury.gov.au/consultation/c2022-338372</w:t>
        </w:r>
      </w:hyperlink>
    </w:p>
  </w:footnote>
  <w:footnote w:id="3">
    <w:p w14:paraId="19FF1AB4" w14:textId="77777777" w:rsidR="006B54C7" w:rsidRPr="00AF140E" w:rsidRDefault="006B54C7" w:rsidP="006B54C7">
      <w:pPr>
        <w:pStyle w:val="FootnoteText"/>
        <w:rPr>
          <w:rFonts w:ascii="Avenir Next" w:hAnsi="Avenir Next"/>
          <w:color w:val="575F61"/>
        </w:rPr>
      </w:pPr>
      <w:r w:rsidRPr="00AF140E">
        <w:rPr>
          <w:rStyle w:val="FootnoteReference"/>
          <w:rFonts w:ascii="Avenir Next" w:hAnsi="Avenir Next"/>
          <w:color w:val="575F61"/>
        </w:rPr>
        <w:footnoteRef/>
      </w:r>
      <w:r w:rsidRPr="00AF140E">
        <w:rPr>
          <w:rFonts w:ascii="Avenir Next" w:hAnsi="Avenir Next"/>
          <w:color w:val="575F61"/>
        </w:rPr>
        <w:t xml:space="preserve"> Respondents could provide more than one answer to this question.</w:t>
      </w:r>
    </w:p>
  </w:footnote>
  <w:footnote w:id="4">
    <w:p w14:paraId="6AB01E1D" w14:textId="77777777" w:rsidR="006B54C7" w:rsidRDefault="006B54C7" w:rsidP="006B54C7">
      <w:pPr>
        <w:pStyle w:val="FootnoteText"/>
      </w:pPr>
      <w:r w:rsidRPr="004866E0">
        <w:rPr>
          <w:rStyle w:val="FootnoteReference"/>
          <w:color w:val="575F61"/>
        </w:rPr>
        <w:footnoteRef/>
      </w:r>
      <w:r w:rsidRPr="004866E0">
        <w:rPr>
          <w:color w:val="575F61"/>
        </w:rPr>
        <w:t xml:space="preserve"> Respondents could provide more than one answer to this question</w:t>
      </w:r>
      <w:r w:rsidRPr="00AF140E">
        <w:rPr>
          <w:color w:val="575F61"/>
        </w:rPr>
        <w:t>.</w:t>
      </w:r>
    </w:p>
  </w:footnote>
  <w:footnote w:id="5">
    <w:p w14:paraId="01803D9E" w14:textId="77777777" w:rsidR="006B54C7" w:rsidRDefault="006B54C7" w:rsidP="006B54C7">
      <w:pPr>
        <w:spacing w:before="0" w:after="0"/>
      </w:pPr>
      <w:r w:rsidRPr="00AF140E">
        <w:rPr>
          <w:rStyle w:val="FootnoteReference"/>
          <w:sz w:val="20"/>
          <w:szCs w:val="20"/>
        </w:rPr>
        <w:footnoteRef/>
      </w:r>
      <w:r w:rsidRPr="00AF140E">
        <w:rPr>
          <w:sz w:val="20"/>
          <w:szCs w:val="20"/>
        </w:rPr>
        <w:t xml:space="preserve"> No clients identified as any other gender.</w:t>
      </w:r>
    </w:p>
  </w:footnote>
  <w:footnote w:id="6">
    <w:p w14:paraId="2FC88C46" w14:textId="77777777" w:rsidR="006B54C7" w:rsidRDefault="006B54C7" w:rsidP="006B54C7">
      <w:pPr>
        <w:spacing w:before="0" w:after="0"/>
      </w:pPr>
      <w:r w:rsidRPr="00AF140E">
        <w:rPr>
          <w:rStyle w:val="FootnoteReference"/>
          <w:sz w:val="20"/>
          <w:szCs w:val="20"/>
        </w:rPr>
        <w:footnoteRef/>
      </w:r>
      <w:r w:rsidRPr="00AF140E">
        <w:rPr>
          <w:sz w:val="20"/>
          <w:szCs w:val="20"/>
        </w:rPr>
        <w:t xml:space="preserve"> Age </w:t>
      </w:r>
      <w:proofErr w:type="gramStart"/>
      <w:r w:rsidRPr="00AF140E">
        <w:rPr>
          <w:sz w:val="20"/>
          <w:szCs w:val="20"/>
        </w:rPr>
        <w:t>at</w:t>
      </w:r>
      <w:proofErr w:type="gramEnd"/>
      <w:r w:rsidRPr="00AF140E">
        <w:rPr>
          <w:sz w:val="20"/>
          <w:szCs w:val="20"/>
        </w:rPr>
        <w:t xml:space="preserve"> 31 December 2022, calculated from date of birth recorded in Client Profiles.</w:t>
      </w:r>
    </w:p>
  </w:footnote>
  <w:footnote w:id="7">
    <w:p w14:paraId="3BBA23E9" w14:textId="77777777" w:rsidR="006B54C7" w:rsidRPr="00AF140E" w:rsidRDefault="006B54C7" w:rsidP="006B54C7">
      <w:pPr>
        <w:spacing w:before="0" w:after="0"/>
        <w:rPr>
          <w:sz w:val="20"/>
          <w:szCs w:val="20"/>
        </w:rPr>
      </w:pPr>
      <w:r w:rsidRPr="00AF140E">
        <w:rPr>
          <w:rStyle w:val="FootnoteReference"/>
          <w:sz w:val="20"/>
          <w:szCs w:val="20"/>
        </w:rPr>
        <w:footnoteRef/>
      </w:r>
      <w:r w:rsidRPr="00AF140E">
        <w:rPr>
          <w:sz w:val="20"/>
          <w:szCs w:val="20"/>
        </w:rPr>
        <w:t xml:space="preserve"> Clients are assigned to only one Primary Group, but they may belong to more than one, given they experience multiple types of </w:t>
      </w:r>
      <w:proofErr w:type="gramStart"/>
      <w:r w:rsidRPr="00AF140E">
        <w:rPr>
          <w:sz w:val="20"/>
          <w:szCs w:val="20"/>
        </w:rPr>
        <w:t>disadvantage</w:t>
      </w:r>
      <w:proofErr w:type="gramEnd"/>
      <w:r w:rsidRPr="00AF140E">
        <w:rPr>
          <w:sz w:val="20"/>
          <w:szCs w:val="20"/>
        </w:rPr>
        <w:t xml:space="preserve">. As such, these results are likely to be an under-estimate of clients’ disadvantage. </w:t>
      </w:r>
    </w:p>
  </w:footnote>
  <w:footnote w:id="8">
    <w:p w14:paraId="6F0075C0" w14:textId="77777777" w:rsidR="006B54C7" w:rsidRPr="00AF140E" w:rsidRDefault="006B54C7" w:rsidP="006B54C7">
      <w:pPr>
        <w:pStyle w:val="FootnoteText"/>
        <w:rPr>
          <w:rFonts w:ascii="Avenir Next" w:hAnsi="Avenir Next"/>
        </w:rPr>
      </w:pPr>
      <w:r w:rsidRPr="00AF140E">
        <w:rPr>
          <w:rStyle w:val="FootnoteReference"/>
          <w:rFonts w:ascii="Avenir Next" w:hAnsi="Avenir Next"/>
        </w:rPr>
        <w:footnoteRef/>
      </w:r>
      <w:r w:rsidRPr="00AF140E">
        <w:rPr>
          <w:rFonts w:ascii="Avenir Next" w:hAnsi="Avenir Next"/>
        </w:rPr>
        <w:t xml:space="preserve"> </w:t>
      </w:r>
      <w:r w:rsidRPr="00AF140E">
        <w:rPr>
          <w:rFonts w:ascii="Avenir Next" w:hAnsi="Avenir Next"/>
          <w:color w:val="575F61"/>
        </w:rPr>
        <w:t>This figure includes 3 former prisoners, as well as 55 current prisoners.</w:t>
      </w:r>
    </w:p>
  </w:footnote>
  <w:footnote w:id="9">
    <w:p w14:paraId="7FB22FA5" w14:textId="77777777" w:rsidR="006B54C7" w:rsidRPr="004866E0" w:rsidRDefault="006B54C7" w:rsidP="006B54C7">
      <w:pPr>
        <w:spacing w:before="0" w:after="0"/>
        <w:rPr>
          <w:sz w:val="20"/>
          <w:szCs w:val="20"/>
        </w:rPr>
      </w:pPr>
      <w:r w:rsidRPr="004866E0">
        <w:rPr>
          <w:rStyle w:val="FootnoteReference"/>
          <w:sz w:val="20"/>
          <w:szCs w:val="20"/>
        </w:rPr>
        <w:footnoteRef/>
      </w:r>
      <w:r w:rsidRPr="004866E0">
        <w:rPr>
          <w:sz w:val="20"/>
          <w:szCs w:val="20"/>
        </w:rPr>
        <w:t xml:space="preserve"> This may be explained by clients with BNPL debts having a higher proportion of people aged under 25 years.</w:t>
      </w:r>
    </w:p>
  </w:footnote>
  <w:footnote w:id="10">
    <w:p w14:paraId="71DAD888" w14:textId="77777777" w:rsidR="006B54C7" w:rsidRPr="00525BF2" w:rsidRDefault="006B54C7" w:rsidP="006B54C7">
      <w:pPr>
        <w:spacing w:before="0" w:after="0"/>
        <w:rPr>
          <w:sz w:val="22"/>
        </w:rPr>
      </w:pPr>
      <w:r w:rsidRPr="004866E0">
        <w:rPr>
          <w:rStyle w:val="FootnoteReference"/>
          <w:sz w:val="20"/>
          <w:szCs w:val="20"/>
        </w:rPr>
        <w:footnoteRef/>
      </w:r>
      <w:r w:rsidRPr="004866E0">
        <w:rPr>
          <w:sz w:val="20"/>
          <w:szCs w:val="20"/>
        </w:rPr>
        <w:t xml:space="preserve"> This figure is likely to be an under-estimate because information about dependent adult children is not routinely recorded in Case Files.</w:t>
      </w:r>
    </w:p>
  </w:footnote>
  <w:footnote w:id="11">
    <w:p w14:paraId="73B1C287" w14:textId="77777777" w:rsidR="006B54C7" w:rsidRPr="00AF140E" w:rsidRDefault="006B54C7" w:rsidP="006B54C7">
      <w:pPr>
        <w:spacing w:before="0" w:after="0"/>
        <w:rPr>
          <w:sz w:val="20"/>
          <w:szCs w:val="20"/>
        </w:rPr>
      </w:pPr>
      <w:r w:rsidRPr="00AF140E">
        <w:rPr>
          <w:rStyle w:val="FootnoteReference"/>
          <w:sz w:val="20"/>
          <w:szCs w:val="20"/>
        </w:rPr>
        <w:footnoteRef/>
      </w:r>
      <w:r w:rsidRPr="00AF140E">
        <w:rPr>
          <w:sz w:val="20"/>
          <w:szCs w:val="20"/>
        </w:rPr>
        <w:t xml:space="preserve"> This figure is likely to be an under-estimate because this information is not routinely recorded by Financial Counsellors.</w:t>
      </w:r>
    </w:p>
  </w:footnote>
  <w:footnote w:id="12">
    <w:p w14:paraId="0580AF41" w14:textId="77777777" w:rsidR="006B54C7" w:rsidRPr="00AF140E" w:rsidRDefault="006B54C7" w:rsidP="006B54C7">
      <w:pPr>
        <w:spacing w:before="0" w:after="0"/>
        <w:rPr>
          <w:sz w:val="20"/>
          <w:szCs w:val="20"/>
        </w:rPr>
      </w:pPr>
      <w:r w:rsidRPr="00AF140E">
        <w:rPr>
          <w:rStyle w:val="FootnoteReference"/>
          <w:sz w:val="20"/>
          <w:szCs w:val="20"/>
        </w:rPr>
        <w:footnoteRef/>
      </w:r>
      <w:r w:rsidRPr="00AF140E">
        <w:rPr>
          <w:sz w:val="20"/>
          <w:szCs w:val="20"/>
        </w:rPr>
        <w:t xml:space="preserve"> This low figure may reflect the higher percentage of prisoners in this client group – it is possible that prisoners are less likely than people living in the community to report having a disabled or unwell child as one of their immediate concerns.</w:t>
      </w:r>
    </w:p>
  </w:footnote>
  <w:footnote w:id="13">
    <w:p w14:paraId="34D00DFB" w14:textId="77777777" w:rsidR="006B54C7" w:rsidRDefault="006B54C7" w:rsidP="006B54C7">
      <w:pPr>
        <w:spacing w:before="0" w:after="0"/>
      </w:pPr>
      <w:r w:rsidRPr="00AF140E">
        <w:rPr>
          <w:rStyle w:val="FootnoteReference"/>
          <w:sz w:val="20"/>
          <w:szCs w:val="20"/>
        </w:rPr>
        <w:footnoteRef/>
      </w:r>
      <w:r w:rsidRPr="00AF140E">
        <w:rPr>
          <w:sz w:val="20"/>
          <w:szCs w:val="20"/>
        </w:rPr>
        <w:t xml:space="preserve"> For more information about the Raise the Rate campaign, see: </w:t>
      </w:r>
      <w:hyperlink r:id="rId2" w:history="1">
        <w:r w:rsidRPr="00AF140E">
          <w:rPr>
            <w:rStyle w:val="Hyperlink"/>
            <w:rFonts w:ascii="Avenir Next" w:hAnsi="Avenir Next"/>
            <w:sz w:val="20"/>
            <w:szCs w:val="20"/>
          </w:rPr>
          <w:t>https://www.raisetherate.org.au/</w:t>
        </w:r>
      </w:hyperlink>
      <w:r w:rsidRPr="00AF140E">
        <w:rPr>
          <w:rStyle w:val="Hyperlink"/>
          <w:rFonts w:ascii="Avenir Next" w:hAnsi="Avenir Next"/>
          <w:color w:val="575F61"/>
          <w:sz w:val="20"/>
          <w:szCs w:val="20"/>
          <w:u w:val="none"/>
        </w:rPr>
        <w:t>.</w:t>
      </w:r>
    </w:p>
  </w:footnote>
  <w:footnote w:id="14">
    <w:p w14:paraId="2CB526F5" w14:textId="77777777" w:rsidR="006B54C7" w:rsidRPr="00AF140E" w:rsidRDefault="006B54C7" w:rsidP="006B54C7">
      <w:pPr>
        <w:spacing w:before="0" w:after="0"/>
        <w:rPr>
          <w:sz w:val="20"/>
          <w:szCs w:val="20"/>
        </w:rPr>
      </w:pPr>
      <w:r w:rsidRPr="00AF140E">
        <w:rPr>
          <w:rStyle w:val="FootnoteReference"/>
          <w:sz w:val="20"/>
          <w:szCs w:val="20"/>
        </w:rPr>
        <w:footnoteRef/>
      </w:r>
      <w:r w:rsidRPr="00AF140E">
        <w:rPr>
          <w:sz w:val="20"/>
          <w:szCs w:val="20"/>
        </w:rPr>
        <w:t xml:space="preserve"> This result may be explained by the high proportion of prisoners in this sample. These prisoners were overwhelmingly male, and males are less likely to report being a victim survivor of family violence.</w:t>
      </w:r>
    </w:p>
  </w:footnote>
  <w:footnote w:id="15">
    <w:p w14:paraId="3CA45780" w14:textId="77777777" w:rsidR="006B54C7" w:rsidRPr="00AF140E" w:rsidRDefault="006B54C7" w:rsidP="006B54C7">
      <w:pPr>
        <w:spacing w:before="0" w:after="0"/>
        <w:rPr>
          <w:sz w:val="20"/>
        </w:rPr>
      </w:pPr>
      <w:r w:rsidRPr="00AF140E">
        <w:rPr>
          <w:rStyle w:val="FootnoteReference"/>
          <w:sz w:val="20"/>
        </w:rPr>
        <w:footnoteRef/>
      </w:r>
      <w:r w:rsidRPr="00AF140E">
        <w:rPr>
          <w:sz w:val="20"/>
        </w:rPr>
        <w:t xml:space="preserve"> Given this is self-reported, we do not know how clients have defined psychiatric disability for themselves; it may differ from this definition from the Australian Institute of Health and Welfare (AIHW).</w:t>
      </w:r>
    </w:p>
  </w:footnote>
  <w:footnote w:id="16">
    <w:p w14:paraId="07BDA2D1" w14:textId="77777777" w:rsidR="006B54C7" w:rsidRDefault="006B54C7" w:rsidP="006B54C7">
      <w:pPr>
        <w:spacing w:before="0" w:after="0"/>
      </w:pPr>
      <w:r w:rsidRPr="00AF140E">
        <w:rPr>
          <w:sz w:val="20"/>
          <w:vertAlign w:val="superscript"/>
        </w:rPr>
        <w:footnoteRef/>
      </w:r>
      <w:r w:rsidRPr="00AF140E">
        <w:rPr>
          <w:sz w:val="20"/>
        </w:rPr>
        <w:t xml:space="preserve"> Latest available figure. The term ‘psychosocial disability’ is used by the Australian Bureau of Statistics and the National Disability Insurance Agency and is conceptually similar to AIHW’s definition of ‘psychiatric disability’.</w:t>
      </w:r>
    </w:p>
  </w:footnote>
  <w:footnote w:id="17">
    <w:p w14:paraId="111BF330" w14:textId="77777777" w:rsidR="006B54C7" w:rsidRPr="00AF140E" w:rsidRDefault="006B54C7" w:rsidP="006B54C7">
      <w:pPr>
        <w:spacing w:before="0" w:after="0"/>
        <w:rPr>
          <w:sz w:val="20"/>
          <w:szCs w:val="20"/>
        </w:rPr>
      </w:pPr>
      <w:r w:rsidRPr="00AF140E">
        <w:rPr>
          <w:rStyle w:val="FootnoteReference"/>
          <w:sz w:val="20"/>
          <w:szCs w:val="20"/>
        </w:rPr>
        <w:footnoteRef/>
      </w:r>
      <w:r w:rsidRPr="00AF140E">
        <w:rPr>
          <w:sz w:val="20"/>
          <w:szCs w:val="20"/>
        </w:rPr>
        <w:t xml:space="preserve"> The severity or duration of these conditions was not usually recorded in Case File Notes.</w:t>
      </w:r>
    </w:p>
  </w:footnote>
  <w:footnote w:id="18">
    <w:p w14:paraId="784D21F2" w14:textId="77777777" w:rsidR="006B54C7" w:rsidRPr="00AF140E" w:rsidRDefault="006B54C7" w:rsidP="006B54C7">
      <w:pPr>
        <w:spacing w:before="0" w:after="0"/>
        <w:rPr>
          <w:sz w:val="20"/>
          <w:szCs w:val="20"/>
        </w:rPr>
      </w:pPr>
      <w:r w:rsidRPr="00AF140E">
        <w:rPr>
          <w:rStyle w:val="FootnoteReference"/>
          <w:sz w:val="20"/>
          <w:szCs w:val="20"/>
        </w:rPr>
        <w:footnoteRef/>
      </w:r>
      <w:r w:rsidRPr="00AF140E">
        <w:rPr>
          <w:sz w:val="20"/>
          <w:szCs w:val="20"/>
        </w:rPr>
        <w:t xml:space="preserve"> This is likely to be an under-estimate because mental illness or difficulties are not always recorded in Case File Notes and clients may under-report mental illness or mental health difficulties due to stigma.</w:t>
      </w:r>
    </w:p>
  </w:footnote>
  <w:footnote w:id="19">
    <w:p w14:paraId="421C32E1" w14:textId="77777777" w:rsidR="006B54C7" w:rsidRPr="00AF140E" w:rsidRDefault="006B54C7" w:rsidP="006B54C7">
      <w:pPr>
        <w:spacing w:before="0" w:after="0"/>
        <w:rPr>
          <w:sz w:val="20"/>
          <w:szCs w:val="20"/>
        </w:rPr>
      </w:pPr>
      <w:r w:rsidRPr="00AF140E">
        <w:rPr>
          <w:rStyle w:val="FootnoteReference"/>
          <w:sz w:val="20"/>
          <w:szCs w:val="20"/>
        </w:rPr>
        <w:footnoteRef/>
      </w:r>
      <w:r w:rsidRPr="00AF140E">
        <w:rPr>
          <w:sz w:val="20"/>
          <w:szCs w:val="20"/>
        </w:rPr>
        <w:t xml:space="preserve"> </w:t>
      </w:r>
      <w:r w:rsidRPr="00AF140E">
        <w:rPr>
          <w:sz w:val="20"/>
          <w:szCs w:val="20"/>
          <w:shd w:val="clear" w:color="auto" w:fill="FFFFFF"/>
        </w:rPr>
        <w:t>These figures are likely to be an under-estimate because not all Financial Counselling clients are screened for gambling harm and there is stigma associated with disclosing harmful gambling behaviours.</w:t>
      </w:r>
    </w:p>
  </w:footnote>
  <w:footnote w:id="20">
    <w:p w14:paraId="4ED8C637" w14:textId="77777777" w:rsidR="006B54C7" w:rsidRPr="00CE18BA" w:rsidRDefault="006B54C7">
      <w:pPr>
        <w:pStyle w:val="FootnoteText"/>
        <w:rPr>
          <w:rFonts w:ascii="Avenir Next" w:eastAsia="AvenirNext LT Pro Bold" w:hAnsi="Avenir Next" w:cs="AvenirNext LT Pro Bold"/>
          <w:color w:val="575F61"/>
          <w:lang w:val="en-US"/>
        </w:rPr>
      </w:pPr>
      <w:r w:rsidRPr="00AF140E">
        <w:rPr>
          <w:rStyle w:val="FootnoteReference"/>
          <w:rFonts w:ascii="Avenir Next" w:hAnsi="Avenir Next"/>
          <w:color w:val="575F61"/>
        </w:rPr>
        <w:footnoteRef/>
      </w:r>
      <w:r w:rsidRPr="00AF140E">
        <w:rPr>
          <w:rFonts w:ascii="Avenir Next" w:hAnsi="Avenir Next"/>
          <w:color w:val="575F61"/>
        </w:rPr>
        <w:t xml:space="preserve"> </w:t>
      </w:r>
      <w:r w:rsidRPr="00AF140E">
        <w:rPr>
          <w:rFonts w:ascii="Avenir Next" w:eastAsia="AvenirNext LT Pro Bold" w:hAnsi="Avenir Next" w:cs="AvenirNext LT Pro Bold"/>
          <w:color w:val="575F61"/>
          <w:lang w:val="en-US"/>
        </w:rPr>
        <w:t>Our analysis found that alcohol and other drugs harm was less prevalent in clients with no BNPL debts compared to clients with BNPL debts.</w:t>
      </w:r>
    </w:p>
  </w:footnote>
  <w:footnote w:id="21">
    <w:p w14:paraId="6D391C12" w14:textId="77777777" w:rsidR="006B54C7" w:rsidRPr="00AF140E" w:rsidRDefault="006B54C7" w:rsidP="006B54C7">
      <w:pPr>
        <w:pStyle w:val="FootnoteText"/>
        <w:rPr>
          <w:rFonts w:ascii="Avenir Next" w:hAnsi="Avenir Next"/>
          <w:color w:val="575F61"/>
        </w:rPr>
      </w:pPr>
      <w:r w:rsidRPr="00AF140E">
        <w:rPr>
          <w:rStyle w:val="FootnoteReference"/>
          <w:rFonts w:ascii="Avenir Next" w:hAnsi="Avenir Next"/>
          <w:color w:val="575F61"/>
        </w:rPr>
        <w:footnoteRef/>
      </w:r>
      <w:r w:rsidRPr="00AF140E">
        <w:rPr>
          <w:rFonts w:ascii="Avenir Next" w:hAnsi="Avenir Next"/>
          <w:color w:val="575F61"/>
        </w:rPr>
        <w:t xml:space="preserve"> This is an under-estimate because the Case Files do not always contain complete information about the value of BNPL debts reported by clients.</w:t>
      </w:r>
    </w:p>
  </w:footnote>
  <w:footnote w:id="22">
    <w:p w14:paraId="42F6D48D" w14:textId="77777777" w:rsidR="006B54C7" w:rsidRPr="00AF140E" w:rsidRDefault="006B54C7" w:rsidP="006B54C7">
      <w:pPr>
        <w:pStyle w:val="FootnoteText"/>
        <w:rPr>
          <w:rFonts w:ascii="Avenir Next" w:hAnsi="Avenir Next"/>
          <w:color w:val="575F61"/>
        </w:rPr>
      </w:pPr>
      <w:r w:rsidRPr="00AF140E">
        <w:rPr>
          <w:rStyle w:val="FootnoteReference"/>
          <w:rFonts w:ascii="Avenir Next" w:hAnsi="Avenir Next"/>
          <w:color w:val="575F61"/>
        </w:rPr>
        <w:footnoteRef/>
      </w:r>
      <w:r w:rsidRPr="00AF140E">
        <w:rPr>
          <w:rFonts w:ascii="Avenir Next" w:hAnsi="Avenir Next"/>
          <w:color w:val="575F61"/>
        </w:rPr>
        <w:t xml:space="preserve"> These figures may include late fees or account charges charged in addition to the initial cost of purchases.</w:t>
      </w:r>
    </w:p>
  </w:footnote>
  <w:footnote w:id="23">
    <w:p w14:paraId="1245025D" w14:textId="77777777" w:rsidR="006B54C7" w:rsidRDefault="006B54C7" w:rsidP="006B54C7">
      <w:pPr>
        <w:pStyle w:val="FootnoteText"/>
      </w:pPr>
      <w:r w:rsidRPr="00AF140E">
        <w:rPr>
          <w:rStyle w:val="FootnoteReference"/>
          <w:rFonts w:ascii="Avenir Next" w:hAnsi="Avenir Next"/>
          <w:color w:val="575F61"/>
        </w:rPr>
        <w:footnoteRef/>
      </w:r>
      <w:r w:rsidRPr="00AF140E">
        <w:rPr>
          <w:rFonts w:ascii="Avenir Next" w:hAnsi="Avenir Next"/>
          <w:color w:val="575F61"/>
        </w:rPr>
        <w:t xml:space="preserve"> Total mortgage amounts were excluded because their value is typically much higher than other debts.</w:t>
      </w:r>
    </w:p>
  </w:footnote>
  <w:footnote w:id="24">
    <w:p w14:paraId="7C7854CA" w14:textId="77777777" w:rsidR="006B54C7" w:rsidRPr="00AF140E" w:rsidRDefault="006B54C7" w:rsidP="006B54C7">
      <w:pPr>
        <w:pStyle w:val="FootnoteText"/>
        <w:rPr>
          <w:rFonts w:ascii="Avenir Next" w:hAnsi="Avenir Next"/>
        </w:rPr>
      </w:pPr>
      <w:r w:rsidRPr="00AF140E">
        <w:rPr>
          <w:rStyle w:val="FootnoteReference"/>
          <w:rFonts w:ascii="Avenir Next" w:hAnsi="Avenir Next"/>
          <w:color w:val="575F61"/>
        </w:rPr>
        <w:footnoteRef/>
      </w:r>
      <w:r w:rsidRPr="00AF140E">
        <w:rPr>
          <w:rFonts w:ascii="Avenir Next" w:hAnsi="Avenir Next"/>
        </w:rPr>
        <w:t xml:space="preserve"> </w:t>
      </w:r>
      <w:r w:rsidRPr="00AF140E">
        <w:rPr>
          <w:rFonts w:ascii="Avenir Next" w:hAnsi="Avenir Next"/>
          <w:color w:val="575F61"/>
        </w:rPr>
        <w:t>People receiving regular Centrelink payments can apply to the Department of Social Services for a lump-sum advance, and then pay it off interest-free by means of a deduction from their Centrelink payment over 13 fortnights. For more information see</w:t>
      </w:r>
      <w:r w:rsidRPr="00AF140E">
        <w:rPr>
          <w:rFonts w:ascii="Avenir Next" w:hAnsi="Avenir Next"/>
        </w:rPr>
        <w:t xml:space="preserve">: </w:t>
      </w:r>
      <w:hyperlink r:id="rId3" w:history="1">
        <w:r w:rsidRPr="00AF140E">
          <w:rPr>
            <w:rStyle w:val="Hyperlink"/>
            <w:rFonts w:ascii="Avenir Next" w:hAnsi="Avenir Next"/>
          </w:rPr>
          <w:t>https://my.gov.au/en/services/work/experiencing-financial-hardship/advance-payment</w:t>
        </w:r>
      </w:hyperlink>
    </w:p>
  </w:footnote>
  <w:footnote w:id="25">
    <w:p w14:paraId="2F59D3A0" w14:textId="77777777" w:rsidR="006B54C7" w:rsidRDefault="006B54C7" w:rsidP="006B54C7">
      <w:pPr>
        <w:pStyle w:val="FootnoteText"/>
      </w:pPr>
      <w:r w:rsidRPr="00AF140E">
        <w:rPr>
          <w:rStyle w:val="FootnoteReference"/>
          <w:rFonts w:ascii="Avenir Next" w:hAnsi="Avenir Next"/>
          <w:color w:val="575F61"/>
        </w:rPr>
        <w:footnoteRef/>
      </w:r>
      <w:r w:rsidRPr="00AF140E">
        <w:rPr>
          <w:rFonts w:ascii="Avenir Next" w:hAnsi="Avenir Next"/>
        </w:rPr>
        <w:t xml:space="preserve"> </w:t>
      </w:r>
      <w:r w:rsidRPr="00AF140E">
        <w:rPr>
          <w:rFonts w:ascii="Avenir Next" w:hAnsi="Avenir Next"/>
          <w:color w:val="575F61"/>
        </w:rPr>
        <w:t>This figure excludes total mortgage debts and business tax debts, as these were usually much higher in value than clients’ other debts (sometimes by a factor of 1,000 or more).</w:t>
      </w:r>
    </w:p>
  </w:footnote>
  <w:footnote w:id="26">
    <w:p w14:paraId="24187FE9" w14:textId="509FCAE7" w:rsidR="006B54C7" w:rsidRPr="00AF140E" w:rsidRDefault="006B54C7" w:rsidP="006B54C7">
      <w:pPr>
        <w:pStyle w:val="FootnoteText"/>
        <w:rPr>
          <w:rFonts w:ascii="Avenir Next" w:hAnsi="Avenir Next"/>
        </w:rPr>
      </w:pPr>
      <w:r w:rsidRPr="00AF140E">
        <w:rPr>
          <w:rStyle w:val="FootnoteReference"/>
          <w:rFonts w:ascii="Avenir Next" w:hAnsi="Avenir Next"/>
          <w:color w:val="575F61"/>
        </w:rPr>
        <w:footnoteRef/>
      </w:r>
      <w:r w:rsidRPr="00AF140E">
        <w:rPr>
          <w:rFonts w:ascii="Avenir Next" w:hAnsi="Avenir Next"/>
          <w:color w:val="575F61"/>
        </w:rPr>
        <w:t xml:space="preserve"> For details, see: </w:t>
      </w:r>
      <w:hyperlink r:id="rId4" w:history="1">
        <w:r w:rsidRPr="00AF140E">
          <w:rPr>
            <w:rStyle w:val="Hyperlink"/>
            <w:rFonts w:ascii="Avenir Next" w:hAnsi="Avenir Next"/>
          </w:rPr>
          <w:t>Flexible Support Packages, Tasmanian Government</w:t>
        </w:r>
      </w:hyperlink>
      <w:r w:rsidR="00AF140E" w:rsidRPr="00AF140E">
        <w:rPr>
          <w:rStyle w:val="Hyperlink"/>
          <w:rFonts w:ascii="Avenir Next" w:hAnsi="Avenir Next"/>
          <w:u w:val="none"/>
        </w:rPr>
        <w:t>.</w:t>
      </w:r>
    </w:p>
  </w:footnote>
  <w:footnote w:id="27">
    <w:p w14:paraId="5AEFDEDE" w14:textId="13BB357A" w:rsidR="006B54C7" w:rsidRDefault="006B54C7" w:rsidP="006B54C7">
      <w:pPr>
        <w:pStyle w:val="FootnoteText"/>
      </w:pPr>
      <w:r w:rsidRPr="00AF140E">
        <w:rPr>
          <w:rStyle w:val="FootnoteReference"/>
          <w:rFonts w:ascii="Avenir Next" w:hAnsi="Avenir Next"/>
        </w:rPr>
        <w:footnoteRef/>
      </w:r>
      <w:r w:rsidRPr="00AF140E">
        <w:rPr>
          <w:rFonts w:ascii="Avenir Next" w:hAnsi="Avenir Next"/>
          <w:color w:val="575F61"/>
        </w:rPr>
        <w:t xml:space="preserve"> Refer to Box 3 in this report or access Treasury’s </w:t>
      </w:r>
      <w:r w:rsidRPr="00AF140E">
        <w:rPr>
          <w:rFonts w:ascii="Avenir Next" w:hAnsi="Avenir Next"/>
          <w:i/>
          <w:color w:val="575F61"/>
        </w:rPr>
        <w:t>Option Paper</w:t>
      </w:r>
      <w:r w:rsidRPr="00AF140E">
        <w:rPr>
          <w:rFonts w:ascii="Avenir Next" w:hAnsi="Avenir Next"/>
          <w:color w:val="575F61"/>
        </w:rPr>
        <w:t xml:space="preserve"> here:</w:t>
      </w:r>
      <w:r w:rsidRPr="00525BF2">
        <w:rPr>
          <w:color w:val="575F61"/>
        </w:rPr>
        <w:t xml:space="preserve"> </w:t>
      </w:r>
      <w:hyperlink r:id="rId5" w:history="1">
        <w:r w:rsidRPr="0019385C">
          <w:rPr>
            <w:rStyle w:val="Hyperlink"/>
          </w:rPr>
          <w:t>https://treasury.gov.au/consultation/c2022-338372</w:t>
        </w:r>
      </w:hyperlink>
      <w:r w:rsidR="00AF140E" w:rsidRPr="00AF140E">
        <w:rPr>
          <w:rStyle w:val="Hyperlink"/>
          <w:color w:val="575F61"/>
          <w:u w:val="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2228D"/>
    <w:multiLevelType w:val="multilevel"/>
    <w:tmpl w:val="8878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F7FF7"/>
    <w:multiLevelType w:val="hybridMultilevel"/>
    <w:tmpl w:val="D5EAF29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4F400A"/>
    <w:multiLevelType w:val="multilevel"/>
    <w:tmpl w:val="05BA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B0AEE"/>
    <w:multiLevelType w:val="hybridMultilevel"/>
    <w:tmpl w:val="D7D6C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101045"/>
    <w:multiLevelType w:val="hybridMultilevel"/>
    <w:tmpl w:val="A9FCDA9E"/>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7C40EA"/>
    <w:multiLevelType w:val="hybridMultilevel"/>
    <w:tmpl w:val="19AE734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15:restartNumberingAfterBreak="0">
    <w:nsid w:val="2F8956B7"/>
    <w:multiLevelType w:val="hybridMultilevel"/>
    <w:tmpl w:val="BF0CA5A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540379"/>
    <w:multiLevelType w:val="hybridMultilevel"/>
    <w:tmpl w:val="DB9A3E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56901D5"/>
    <w:multiLevelType w:val="multilevel"/>
    <w:tmpl w:val="ED54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696FD6"/>
    <w:multiLevelType w:val="hybridMultilevel"/>
    <w:tmpl w:val="62F26F5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393CDC"/>
    <w:multiLevelType w:val="hybridMultilevel"/>
    <w:tmpl w:val="0ADA8C9C"/>
    <w:lvl w:ilvl="0" w:tplc="AF4A225A">
      <w:start w:val="1"/>
      <w:numFmt w:val="bullet"/>
      <w:pStyle w:val="Blackbullets"/>
      <w:lvlText w:val=""/>
      <w:lvlJc w:val="left"/>
      <w:pPr>
        <w:ind w:left="1077" w:hanging="360"/>
      </w:pPr>
      <w:rPr>
        <w:rFonts w:ascii="Symbol" w:hAnsi="Symbol"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54B61B5D"/>
    <w:multiLevelType w:val="hybridMultilevel"/>
    <w:tmpl w:val="FFA4EE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9D05B21"/>
    <w:multiLevelType w:val="hybridMultilevel"/>
    <w:tmpl w:val="78F85F5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CFA37E8"/>
    <w:multiLevelType w:val="multilevel"/>
    <w:tmpl w:val="136A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344499"/>
    <w:multiLevelType w:val="hybridMultilevel"/>
    <w:tmpl w:val="D370114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1AC2555"/>
    <w:multiLevelType w:val="hybridMultilevel"/>
    <w:tmpl w:val="F88819B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393F3D"/>
    <w:multiLevelType w:val="hybridMultilevel"/>
    <w:tmpl w:val="14AA39CA"/>
    <w:lvl w:ilvl="0" w:tplc="6978BC18">
      <w:start w:val="1"/>
      <w:numFmt w:val="bullet"/>
      <w:pStyle w:val="Bullets"/>
      <w:lvlText w:val=""/>
      <w:lvlJc w:val="left"/>
      <w:pPr>
        <w:ind w:left="22" w:hanging="284"/>
      </w:pPr>
      <w:rPr>
        <w:rFonts w:ascii="Symbol" w:hAnsi="Symbol" w:hint="default"/>
        <w:color w:val="E7B52A"/>
        <w:sz w:val="28"/>
        <w:u w:val="none"/>
      </w:rPr>
    </w:lvl>
    <w:lvl w:ilvl="1" w:tplc="08090003">
      <w:start w:val="1"/>
      <w:numFmt w:val="bullet"/>
      <w:lvlText w:val="o"/>
      <w:lvlJc w:val="left"/>
      <w:pPr>
        <w:ind w:left="1178" w:hanging="360"/>
      </w:pPr>
      <w:rPr>
        <w:rFonts w:ascii="Courier New" w:hAnsi="Courier New" w:cs="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cs="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cs="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17" w15:restartNumberingAfterBreak="0">
    <w:nsid w:val="7827539E"/>
    <w:multiLevelType w:val="hybridMultilevel"/>
    <w:tmpl w:val="B4E414F4"/>
    <w:lvl w:ilvl="0" w:tplc="5D46AD56">
      <w:start w:val="1"/>
      <w:numFmt w:val="decimal"/>
      <w:pStyle w:val="ListParagraph"/>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BDD24E2"/>
    <w:multiLevelType w:val="multilevel"/>
    <w:tmpl w:val="3A26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4D3128"/>
    <w:multiLevelType w:val="hybridMultilevel"/>
    <w:tmpl w:val="327AE646"/>
    <w:lvl w:ilvl="0" w:tplc="92D687D8">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12396902">
    <w:abstractNumId w:val="16"/>
  </w:num>
  <w:num w:numId="2" w16cid:durableId="824592826">
    <w:abstractNumId w:val="13"/>
  </w:num>
  <w:num w:numId="3" w16cid:durableId="759789675">
    <w:abstractNumId w:val="18"/>
  </w:num>
  <w:num w:numId="4" w16cid:durableId="1557668567">
    <w:abstractNumId w:val="2"/>
  </w:num>
  <w:num w:numId="5" w16cid:durableId="1168907999">
    <w:abstractNumId w:val="8"/>
  </w:num>
  <w:num w:numId="6" w16cid:durableId="295643629">
    <w:abstractNumId w:val="0"/>
  </w:num>
  <w:num w:numId="7" w16cid:durableId="826243796">
    <w:abstractNumId w:val="19"/>
  </w:num>
  <w:num w:numId="8" w16cid:durableId="199628693">
    <w:abstractNumId w:val="14"/>
  </w:num>
  <w:num w:numId="9" w16cid:durableId="1473795351">
    <w:abstractNumId w:val="1"/>
  </w:num>
  <w:num w:numId="10" w16cid:durableId="1369061304">
    <w:abstractNumId w:val="4"/>
  </w:num>
  <w:num w:numId="11" w16cid:durableId="1684284465">
    <w:abstractNumId w:val="3"/>
  </w:num>
  <w:num w:numId="12" w16cid:durableId="485361311">
    <w:abstractNumId w:val="17"/>
  </w:num>
  <w:num w:numId="13" w16cid:durableId="1860196539">
    <w:abstractNumId w:val="12"/>
  </w:num>
  <w:num w:numId="14" w16cid:durableId="96222918">
    <w:abstractNumId w:val="11"/>
  </w:num>
  <w:num w:numId="15" w16cid:durableId="1019700232">
    <w:abstractNumId w:val="7"/>
  </w:num>
  <w:num w:numId="16" w16cid:durableId="750272226">
    <w:abstractNumId w:val="6"/>
  </w:num>
  <w:num w:numId="17" w16cid:durableId="440223758">
    <w:abstractNumId w:val="10"/>
  </w:num>
  <w:num w:numId="18" w16cid:durableId="464087415">
    <w:abstractNumId w:val="9"/>
  </w:num>
  <w:num w:numId="19" w16cid:durableId="1884293500">
    <w:abstractNumId w:val="15"/>
  </w:num>
  <w:num w:numId="20" w16cid:durableId="582682284">
    <w:abstractNumId w:val="5"/>
  </w:num>
  <w:num w:numId="21" w16cid:durableId="1415278508">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ocumentProtection w:edit="readOnly" w:formatting="1" w:enforcement="1" w:cryptProviderType="rsaAES" w:cryptAlgorithmClass="hash" w:cryptAlgorithmType="typeAny" w:cryptAlgorithmSid="14" w:cryptSpinCount="100000" w:hash="g2TVSLud3zfGE3XBR0btEpB293YjGTZ9/58c31tCOMooP2Il5AJznDlqVAvx9Fyr+M9QP4i3GC7R9fwnA6DvrQ==" w:salt="6RyDilFbHxNyOyjyTcgb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1&lt;/Suspended&gt;&lt;/ENInstantFormat&gt;"/>
  </w:docVars>
  <w:rsids>
    <w:rsidRoot w:val="001702AE"/>
    <w:rsid w:val="001702AE"/>
    <w:rsid w:val="00203FD7"/>
    <w:rsid w:val="002679F9"/>
    <w:rsid w:val="003F615C"/>
    <w:rsid w:val="004866E0"/>
    <w:rsid w:val="005D72F8"/>
    <w:rsid w:val="00693F70"/>
    <w:rsid w:val="006B339A"/>
    <w:rsid w:val="006B54C7"/>
    <w:rsid w:val="00856710"/>
    <w:rsid w:val="00960D3C"/>
    <w:rsid w:val="00A558B1"/>
    <w:rsid w:val="00A72EEB"/>
    <w:rsid w:val="00AB407F"/>
    <w:rsid w:val="00AF140E"/>
    <w:rsid w:val="00B0567E"/>
    <w:rsid w:val="00C244E2"/>
    <w:rsid w:val="00D75139"/>
    <w:rsid w:val="00F5645B"/>
    <w:rsid w:val="00F61137"/>
    <w:rsid w:val="00FB7B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29"/>
    <o:shapelayout v:ext="edit">
      <o:idmap v:ext="edit" data="1"/>
    </o:shapelayout>
  </w:shapeDefaults>
  <w:decimalSymbol w:val="."/>
  <w:listSeparator w:val=","/>
  <w14:docId w14:val="5D8A0164"/>
  <w15:chartTrackingRefBased/>
  <w15:docId w15:val="{946DF45F-A8FA-4BE8-9B2C-2F580177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2AE"/>
    <w:pPr>
      <w:widowControl w:val="0"/>
      <w:autoSpaceDE w:val="0"/>
      <w:autoSpaceDN w:val="0"/>
      <w:spacing w:before="120" w:after="120" w:line="240" w:lineRule="auto"/>
    </w:pPr>
    <w:rPr>
      <w:rFonts w:ascii="Avenir Next" w:eastAsia="AvenirNext LT Pro Bold" w:hAnsi="Avenir Next" w:cs="AvenirNext LT Pro Bold"/>
      <w:color w:val="575F61"/>
      <w:sz w:val="24"/>
    </w:rPr>
  </w:style>
  <w:style w:type="paragraph" w:styleId="Heading1">
    <w:name w:val="heading 1"/>
    <w:next w:val="BodyText"/>
    <w:link w:val="Heading1Char"/>
    <w:autoRedefine/>
    <w:uiPriority w:val="9"/>
    <w:qFormat/>
    <w:rsid w:val="001702AE"/>
    <w:pPr>
      <w:widowControl w:val="0"/>
      <w:autoSpaceDE w:val="0"/>
      <w:autoSpaceDN w:val="0"/>
      <w:spacing w:before="240" w:after="240" w:line="520" w:lineRule="exact"/>
      <w:outlineLvl w:val="0"/>
    </w:pPr>
    <w:rPr>
      <w:rFonts w:ascii="Avenir Next Demi Bold" w:eastAsia="AvenirNextLTPro-Demi" w:hAnsi="Avenir Next Demi Bold" w:cs="AvenirNextLTPro-Demi"/>
      <w:b/>
      <w:bCs/>
      <w:color w:val="1598CB"/>
      <w:sz w:val="48"/>
      <w:szCs w:val="48"/>
      <w:lang w:val="en-US"/>
    </w:rPr>
  </w:style>
  <w:style w:type="paragraph" w:styleId="Heading2">
    <w:name w:val="heading 2"/>
    <w:basedOn w:val="Heading1"/>
    <w:next w:val="BodyText"/>
    <w:link w:val="Heading2Char"/>
    <w:autoRedefine/>
    <w:uiPriority w:val="9"/>
    <w:unhideWhenUsed/>
    <w:qFormat/>
    <w:rsid w:val="001702AE"/>
    <w:pPr>
      <w:spacing w:before="360" w:after="120" w:line="240" w:lineRule="auto"/>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1702AE"/>
    <w:pPr>
      <w:spacing w:before="60" w:after="0"/>
      <w:outlineLvl w:val="2"/>
    </w:pPr>
    <w:rPr>
      <w:rFonts w:ascii="Avenir Next Demi Bold" w:hAnsi="Avenir Next Demi Bold"/>
      <w:b/>
      <w:sz w:val="32"/>
      <w:szCs w:val="32"/>
    </w:rPr>
  </w:style>
  <w:style w:type="paragraph" w:styleId="Heading4">
    <w:name w:val="heading 4"/>
    <w:basedOn w:val="Normal"/>
    <w:next w:val="Normal"/>
    <w:link w:val="Heading4Char"/>
    <w:uiPriority w:val="9"/>
    <w:semiHidden/>
    <w:unhideWhenUsed/>
    <w:qFormat/>
    <w:rsid w:val="001702AE"/>
    <w:pPr>
      <w:keepNext/>
      <w:keepLines/>
      <w:widowControl/>
      <w:autoSpaceDE/>
      <w:autoSpaceDN/>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2AE"/>
    <w:rPr>
      <w:rFonts w:ascii="Avenir Next Demi Bold" w:eastAsia="AvenirNextLTPro-Demi" w:hAnsi="Avenir Next Demi Bold" w:cs="AvenirNextLTPro-Demi"/>
      <w:b/>
      <w:bCs/>
      <w:color w:val="1598CB"/>
      <w:sz w:val="48"/>
      <w:szCs w:val="48"/>
      <w:lang w:val="en-US"/>
    </w:rPr>
  </w:style>
  <w:style w:type="character" w:customStyle="1" w:styleId="Heading2Char">
    <w:name w:val="Heading 2 Char"/>
    <w:basedOn w:val="DefaultParagraphFont"/>
    <w:link w:val="Heading2"/>
    <w:uiPriority w:val="9"/>
    <w:rsid w:val="001702AE"/>
    <w:rPr>
      <w:rFonts w:ascii="Avenir Next Demi Bold" w:eastAsia="AvenirNextLTPro-Demi" w:hAnsi="Avenir Next Demi Bold" w:cs="AvenirNextLTPro-Demi"/>
      <w:b/>
      <w:color w:val="248EB9"/>
      <w:spacing w:val="-6"/>
      <w:sz w:val="36"/>
      <w:szCs w:val="36"/>
      <w:lang w:val="en-US"/>
    </w:rPr>
  </w:style>
  <w:style w:type="character" w:customStyle="1" w:styleId="Heading3Char">
    <w:name w:val="Heading 3 Char"/>
    <w:basedOn w:val="DefaultParagraphFont"/>
    <w:link w:val="Heading3"/>
    <w:uiPriority w:val="9"/>
    <w:rsid w:val="001702AE"/>
    <w:rPr>
      <w:rFonts w:ascii="Avenir Next Demi Bold" w:eastAsia="AvenirNext LT Pro Bold" w:hAnsi="Avenir Next Demi Bold" w:cs="AvenirNext LT Pro Bold"/>
      <w:b/>
      <w:color w:val="575F61"/>
      <w:sz w:val="32"/>
      <w:szCs w:val="32"/>
      <w:lang w:val="en-US"/>
    </w:rPr>
  </w:style>
  <w:style w:type="character" w:customStyle="1" w:styleId="Heading4Char">
    <w:name w:val="Heading 4 Char"/>
    <w:basedOn w:val="DefaultParagraphFont"/>
    <w:link w:val="Heading4"/>
    <w:uiPriority w:val="9"/>
    <w:semiHidden/>
    <w:rsid w:val="001702AE"/>
    <w:rPr>
      <w:rFonts w:asciiTheme="majorHAnsi" w:eastAsiaTheme="majorEastAsia" w:hAnsiTheme="majorHAnsi" w:cstheme="majorBidi"/>
      <w:i/>
      <w:iCs/>
      <w:color w:val="2F5496" w:themeColor="accent1" w:themeShade="BF"/>
      <w:sz w:val="24"/>
    </w:rPr>
  </w:style>
  <w:style w:type="paragraph" w:styleId="BodyText">
    <w:name w:val="Body Text"/>
    <w:basedOn w:val="Normal"/>
    <w:link w:val="BodyTextChar"/>
    <w:uiPriority w:val="1"/>
    <w:qFormat/>
    <w:rsid w:val="001702AE"/>
    <w:rPr>
      <w:szCs w:val="24"/>
    </w:rPr>
  </w:style>
  <w:style w:type="character" w:customStyle="1" w:styleId="BodyTextChar">
    <w:name w:val="Body Text Char"/>
    <w:basedOn w:val="DefaultParagraphFont"/>
    <w:link w:val="BodyText"/>
    <w:uiPriority w:val="1"/>
    <w:rsid w:val="001702AE"/>
    <w:rPr>
      <w:rFonts w:ascii="Avenir Next" w:eastAsia="AvenirNext LT Pro Bold" w:hAnsi="Avenir Next" w:cs="AvenirNext LT Pro Bold"/>
      <w:color w:val="575F61"/>
      <w:sz w:val="24"/>
      <w:szCs w:val="24"/>
      <w:lang w:val="en-US"/>
    </w:rPr>
  </w:style>
  <w:style w:type="paragraph" w:styleId="TOC1">
    <w:name w:val="toc 1"/>
    <w:basedOn w:val="Normal"/>
    <w:uiPriority w:val="39"/>
    <w:qFormat/>
    <w:rsid w:val="001702AE"/>
    <w:rPr>
      <w:rFonts w:asciiTheme="minorHAnsi" w:hAnsiTheme="minorHAnsi" w:cstheme="minorHAnsi"/>
      <w:b/>
      <w:bCs/>
      <w:sz w:val="20"/>
      <w:szCs w:val="20"/>
    </w:rPr>
  </w:style>
  <w:style w:type="paragraph" w:styleId="Title">
    <w:name w:val="Title"/>
    <w:basedOn w:val="Normal"/>
    <w:link w:val="TitleChar"/>
    <w:uiPriority w:val="10"/>
    <w:qFormat/>
    <w:rsid w:val="001702AE"/>
    <w:pPr>
      <w:spacing w:before="75"/>
      <w:ind w:left="1127" w:right="1085"/>
      <w:jc w:val="center"/>
    </w:pPr>
    <w:rPr>
      <w:rFonts w:ascii="AvenirNextLTPro-Demi" w:eastAsia="AvenirNextLTPro-Demi" w:hAnsi="AvenirNextLTPro-Demi" w:cs="AvenirNextLTPro-Demi"/>
      <w:b/>
      <w:bCs/>
      <w:sz w:val="56"/>
      <w:szCs w:val="56"/>
    </w:rPr>
  </w:style>
  <w:style w:type="character" w:customStyle="1" w:styleId="TitleChar">
    <w:name w:val="Title Char"/>
    <w:basedOn w:val="DefaultParagraphFont"/>
    <w:link w:val="Title"/>
    <w:uiPriority w:val="10"/>
    <w:rsid w:val="001702AE"/>
    <w:rPr>
      <w:rFonts w:ascii="AvenirNextLTPro-Demi" w:eastAsia="AvenirNextLTPro-Demi" w:hAnsi="AvenirNextLTPro-Demi" w:cs="AvenirNextLTPro-Demi"/>
      <w:b/>
      <w:bCs/>
      <w:color w:val="575F61"/>
      <w:sz w:val="56"/>
      <w:szCs w:val="56"/>
      <w:lang w:val="en-US"/>
    </w:rPr>
  </w:style>
  <w:style w:type="paragraph" w:styleId="ListParagraph">
    <w:name w:val="List Paragraph"/>
    <w:aliases w:val="Bullets 2"/>
    <w:basedOn w:val="Normal"/>
    <w:next w:val="Normal"/>
    <w:link w:val="ListParagraphChar"/>
    <w:autoRedefine/>
    <w:uiPriority w:val="34"/>
    <w:qFormat/>
    <w:rsid w:val="00B0567E"/>
    <w:pPr>
      <w:widowControl/>
      <w:numPr>
        <w:numId w:val="12"/>
      </w:numPr>
      <w:autoSpaceDE/>
      <w:autoSpaceDN/>
      <w:spacing w:before="0"/>
    </w:pPr>
  </w:style>
  <w:style w:type="paragraph" w:customStyle="1" w:styleId="TableParagraph">
    <w:name w:val="Table Paragraph"/>
    <w:basedOn w:val="Normal"/>
    <w:uiPriority w:val="1"/>
    <w:qFormat/>
    <w:rsid w:val="001702AE"/>
    <w:rPr>
      <w:rFonts w:eastAsia="AvenirNextLTPro-Demi" w:cs="AvenirNextLTPro-Demi"/>
      <w:sz w:val="20"/>
    </w:rPr>
  </w:style>
  <w:style w:type="paragraph" w:customStyle="1" w:styleId="Bullets">
    <w:name w:val="Bullets"/>
    <w:basedOn w:val="BodyText"/>
    <w:next w:val="BodyText"/>
    <w:autoRedefine/>
    <w:qFormat/>
    <w:rsid w:val="005D72F8"/>
    <w:pPr>
      <w:numPr>
        <w:numId w:val="1"/>
      </w:numPr>
      <w:spacing w:before="0"/>
      <w:ind w:left="1135"/>
    </w:pPr>
  </w:style>
  <w:style w:type="paragraph" w:customStyle="1" w:styleId="Breakout">
    <w:name w:val="Breakout"/>
    <w:basedOn w:val="BodyText"/>
    <w:next w:val="BodyText"/>
    <w:autoRedefine/>
    <w:qFormat/>
    <w:rsid w:val="001702AE"/>
    <w:pPr>
      <w:spacing w:after="240" w:line="440" w:lineRule="exact"/>
    </w:pPr>
    <w:rPr>
      <w:spacing w:val="-2"/>
      <w:sz w:val="32"/>
      <w:szCs w:val="36"/>
    </w:rPr>
  </w:style>
  <w:style w:type="paragraph" w:styleId="TOCHeading">
    <w:name w:val="TOC Heading"/>
    <w:basedOn w:val="Heading1"/>
    <w:next w:val="Normal"/>
    <w:uiPriority w:val="39"/>
    <w:unhideWhenUsed/>
    <w:qFormat/>
    <w:rsid w:val="001702AE"/>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1702AE"/>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1702AE"/>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1702AE"/>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1702AE"/>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702AE"/>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702AE"/>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702AE"/>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702AE"/>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702AE"/>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1702AE"/>
    <w:pPr>
      <w:tabs>
        <w:tab w:val="center" w:pos="4513"/>
        <w:tab w:val="right" w:pos="9026"/>
      </w:tabs>
      <w:spacing w:before="0" w:after="0"/>
    </w:pPr>
  </w:style>
  <w:style w:type="character" w:customStyle="1" w:styleId="FooterChar">
    <w:name w:val="Footer Char"/>
    <w:basedOn w:val="DefaultParagraphFont"/>
    <w:link w:val="Footer"/>
    <w:uiPriority w:val="99"/>
    <w:rsid w:val="001702AE"/>
    <w:rPr>
      <w:rFonts w:ascii="Avenir Next" w:eastAsia="AvenirNext LT Pro Bold" w:hAnsi="Avenir Next" w:cs="AvenirNext LT Pro Bold"/>
      <w:color w:val="575F61"/>
      <w:sz w:val="24"/>
      <w:lang w:val="en-US"/>
    </w:rPr>
  </w:style>
  <w:style w:type="character" w:styleId="PageNumber">
    <w:name w:val="page number"/>
    <w:basedOn w:val="DefaultParagraphFont"/>
    <w:uiPriority w:val="99"/>
    <w:semiHidden/>
    <w:unhideWhenUsed/>
    <w:rsid w:val="001702AE"/>
    <w:rPr>
      <w:rFonts w:ascii="AvenirNext LT Pro Regular" w:hAnsi="AvenirNext LT Pro Regular"/>
    </w:rPr>
  </w:style>
  <w:style w:type="paragraph" w:styleId="Header">
    <w:name w:val="header"/>
    <w:basedOn w:val="Normal"/>
    <w:link w:val="HeaderChar"/>
    <w:uiPriority w:val="99"/>
    <w:unhideWhenUsed/>
    <w:rsid w:val="001702AE"/>
    <w:pPr>
      <w:tabs>
        <w:tab w:val="center" w:pos="4513"/>
        <w:tab w:val="right" w:pos="9026"/>
      </w:tabs>
      <w:spacing w:before="0" w:after="0"/>
    </w:pPr>
  </w:style>
  <w:style w:type="character" w:customStyle="1" w:styleId="HeaderChar">
    <w:name w:val="Header Char"/>
    <w:basedOn w:val="DefaultParagraphFont"/>
    <w:link w:val="Header"/>
    <w:uiPriority w:val="99"/>
    <w:rsid w:val="001702AE"/>
    <w:rPr>
      <w:rFonts w:ascii="Avenir Next" w:eastAsia="AvenirNext LT Pro Bold" w:hAnsi="Avenir Next" w:cs="AvenirNext LT Pro Bold"/>
      <w:color w:val="575F61"/>
      <w:sz w:val="24"/>
      <w:lang w:val="en-US"/>
    </w:rPr>
  </w:style>
  <w:style w:type="table" w:customStyle="1" w:styleId="Table">
    <w:name w:val="Table"/>
    <w:basedOn w:val="TableNormal"/>
    <w:uiPriority w:val="99"/>
    <w:rsid w:val="001702AE"/>
    <w:pPr>
      <w:spacing w:after="0" w:line="240" w:lineRule="auto"/>
    </w:pPr>
    <w:rPr>
      <w:rFonts w:ascii="Avenir Next" w:hAnsi="Avenir Next"/>
      <w:color w:val="575F61"/>
      <w:sz w:val="20"/>
      <w:lang w:val="en-US"/>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1702A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1702AE"/>
    <w:pPr>
      <w:spacing w:after="0"/>
    </w:pPr>
    <w:rPr>
      <w:rFonts w:ascii="Avenir Next Demi Bold" w:hAnsi="Avenir Next Demi Bold"/>
      <w:b/>
      <w:bCs/>
    </w:rPr>
  </w:style>
  <w:style w:type="character" w:styleId="Emphasis">
    <w:name w:val="Emphasis"/>
    <w:basedOn w:val="DefaultParagraphFont"/>
    <w:uiPriority w:val="20"/>
    <w:qFormat/>
    <w:rsid w:val="001702AE"/>
    <w:rPr>
      <w:i/>
      <w:iCs/>
    </w:rPr>
  </w:style>
  <w:style w:type="paragraph" w:styleId="IntenseQuote">
    <w:name w:val="Intense Quote"/>
    <w:basedOn w:val="Normal"/>
    <w:next w:val="Normal"/>
    <w:link w:val="IntenseQuoteChar"/>
    <w:uiPriority w:val="30"/>
    <w:qFormat/>
    <w:rsid w:val="001702A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702AE"/>
    <w:rPr>
      <w:rFonts w:ascii="Avenir Next" w:eastAsia="AvenirNext LT Pro Bold" w:hAnsi="Avenir Next" w:cs="AvenirNext LT Pro Bold"/>
      <w:i/>
      <w:iCs/>
      <w:color w:val="4472C4" w:themeColor="accent1"/>
      <w:sz w:val="24"/>
      <w:lang w:val="en-US"/>
    </w:rPr>
  </w:style>
  <w:style w:type="paragraph" w:styleId="FootnoteText">
    <w:name w:val="footnote text"/>
    <w:basedOn w:val="Normal"/>
    <w:link w:val="FootnoteTextChar"/>
    <w:uiPriority w:val="99"/>
    <w:semiHidden/>
    <w:unhideWhenUsed/>
    <w:rsid w:val="001702AE"/>
    <w:pPr>
      <w:widowControl/>
      <w:autoSpaceDE/>
      <w:autoSpaceDN/>
      <w:spacing w:before="0" w:after="0"/>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1702AE"/>
    <w:rPr>
      <w:sz w:val="20"/>
      <w:szCs w:val="20"/>
    </w:rPr>
  </w:style>
  <w:style w:type="character" w:styleId="FootnoteReference">
    <w:name w:val="footnote reference"/>
    <w:basedOn w:val="DefaultParagraphFont"/>
    <w:uiPriority w:val="99"/>
    <w:semiHidden/>
    <w:unhideWhenUsed/>
    <w:rsid w:val="001702AE"/>
    <w:rPr>
      <w:vertAlign w:val="superscript"/>
    </w:rPr>
  </w:style>
  <w:style w:type="character" w:styleId="CommentReference">
    <w:name w:val="annotation reference"/>
    <w:basedOn w:val="DefaultParagraphFont"/>
    <w:uiPriority w:val="99"/>
    <w:semiHidden/>
    <w:unhideWhenUsed/>
    <w:rsid w:val="001702AE"/>
    <w:rPr>
      <w:sz w:val="16"/>
      <w:szCs w:val="16"/>
    </w:rPr>
  </w:style>
  <w:style w:type="paragraph" w:styleId="CommentText">
    <w:name w:val="annotation text"/>
    <w:basedOn w:val="Normal"/>
    <w:link w:val="CommentTextChar"/>
    <w:uiPriority w:val="99"/>
    <w:unhideWhenUsed/>
    <w:rsid w:val="001702AE"/>
    <w:pPr>
      <w:widowControl/>
      <w:autoSpaceDE/>
      <w:autoSpaceDN/>
      <w:spacing w:before="0" w:after="16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1702AE"/>
    <w:rPr>
      <w:sz w:val="20"/>
      <w:szCs w:val="20"/>
    </w:rPr>
  </w:style>
  <w:style w:type="paragraph" w:styleId="BalloonText">
    <w:name w:val="Balloon Text"/>
    <w:basedOn w:val="Normal"/>
    <w:link w:val="BalloonTextChar"/>
    <w:uiPriority w:val="99"/>
    <w:semiHidden/>
    <w:unhideWhenUsed/>
    <w:rsid w:val="001702A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2AE"/>
    <w:rPr>
      <w:rFonts w:ascii="Segoe UI" w:eastAsia="AvenirNext LT Pro Bold" w:hAnsi="Segoe UI" w:cs="Segoe UI"/>
      <w:color w:val="575F61"/>
      <w:sz w:val="18"/>
      <w:szCs w:val="18"/>
      <w:lang w:val="en-US"/>
    </w:rPr>
  </w:style>
  <w:style w:type="table" w:styleId="PlainTable2">
    <w:name w:val="Plain Table 2"/>
    <w:basedOn w:val="TableNormal"/>
    <w:uiPriority w:val="42"/>
    <w:rsid w:val="001702AE"/>
    <w:pPr>
      <w:widowControl w:val="0"/>
      <w:autoSpaceDE w:val="0"/>
      <w:autoSpaceDN w:val="0"/>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1702AE"/>
    <w:pPr>
      <w:widowControl/>
      <w:autoSpaceDE/>
      <w:autoSpaceDN/>
      <w:spacing w:before="0" w:after="0" w:line="259" w:lineRule="auto"/>
      <w:jc w:val="center"/>
    </w:pPr>
    <w:rPr>
      <w:rFonts w:ascii="Calibri" w:eastAsiaTheme="minorHAnsi" w:hAnsi="Calibri" w:cs="Calibri"/>
      <w:noProof/>
      <w:color w:val="auto"/>
      <w:sz w:val="22"/>
    </w:rPr>
  </w:style>
  <w:style w:type="character" w:customStyle="1" w:styleId="EndNoteBibliographyTitleChar">
    <w:name w:val="EndNote Bibliography Title Char"/>
    <w:basedOn w:val="DefaultParagraphFont"/>
    <w:link w:val="EndNoteBibliographyTitle"/>
    <w:rsid w:val="001702AE"/>
    <w:rPr>
      <w:rFonts w:ascii="Calibri" w:hAnsi="Calibri" w:cs="Calibri"/>
      <w:noProof/>
      <w:lang w:val="en-US"/>
    </w:rPr>
  </w:style>
  <w:style w:type="paragraph" w:customStyle="1" w:styleId="EndNoteBibliography">
    <w:name w:val="EndNote Bibliography"/>
    <w:basedOn w:val="Normal"/>
    <w:link w:val="EndNoteBibliographyChar"/>
    <w:rsid w:val="001702AE"/>
    <w:pPr>
      <w:widowControl/>
      <w:autoSpaceDE/>
      <w:autoSpaceDN/>
      <w:spacing w:before="0" w:after="160"/>
    </w:pPr>
    <w:rPr>
      <w:rFonts w:ascii="Calibri" w:eastAsiaTheme="minorHAnsi" w:hAnsi="Calibri" w:cs="Calibri"/>
      <w:noProof/>
      <w:color w:val="auto"/>
      <w:sz w:val="22"/>
    </w:rPr>
  </w:style>
  <w:style w:type="character" w:customStyle="1" w:styleId="EndNoteBibliographyChar">
    <w:name w:val="EndNote Bibliography Char"/>
    <w:basedOn w:val="DefaultParagraphFont"/>
    <w:link w:val="EndNoteBibliography"/>
    <w:rsid w:val="001702AE"/>
    <w:rPr>
      <w:rFonts w:ascii="Calibri" w:hAnsi="Calibri" w:cs="Calibri"/>
      <w:noProof/>
      <w:lang w:val="en-US"/>
    </w:rPr>
  </w:style>
  <w:style w:type="character" w:styleId="Strong">
    <w:name w:val="Strong"/>
    <w:basedOn w:val="DefaultParagraphFont"/>
    <w:uiPriority w:val="22"/>
    <w:qFormat/>
    <w:rsid w:val="001702AE"/>
    <w:rPr>
      <w:b/>
      <w:bCs/>
    </w:rPr>
  </w:style>
  <w:style w:type="character" w:customStyle="1" w:styleId="CommentSubjectChar">
    <w:name w:val="Comment Subject Char"/>
    <w:basedOn w:val="CommentTextChar"/>
    <w:link w:val="CommentSubject"/>
    <w:uiPriority w:val="99"/>
    <w:semiHidden/>
    <w:rsid w:val="001702AE"/>
    <w:rPr>
      <w:b/>
      <w:bCs/>
      <w:sz w:val="20"/>
      <w:szCs w:val="20"/>
    </w:rPr>
  </w:style>
  <w:style w:type="paragraph" w:styleId="CommentSubject">
    <w:name w:val="annotation subject"/>
    <w:basedOn w:val="CommentText"/>
    <w:next w:val="CommentText"/>
    <w:link w:val="CommentSubjectChar"/>
    <w:uiPriority w:val="99"/>
    <w:semiHidden/>
    <w:unhideWhenUsed/>
    <w:rsid w:val="001702AE"/>
    <w:rPr>
      <w:b/>
      <w:bCs/>
    </w:rPr>
  </w:style>
  <w:style w:type="character" w:customStyle="1" w:styleId="CommentSubjectChar1">
    <w:name w:val="Comment Subject Char1"/>
    <w:basedOn w:val="CommentTextChar"/>
    <w:uiPriority w:val="99"/>
    <w:semiHidden/>
    <w:rsid w:val="001702AE"/>
    <w:rPr>
      <w:rFonts w:ascii="Avenir Next" w:eastAsia="AvenirNext LT Pro Bold" w:hAnsi="Avenir Next" w:cs="AvenirNext LT Pro Bold"/>
      <w:b/>
      <w:bCs/>
      <w:color w:val="575F61"/>
      <w:sz w:val="20"/>
      <w:szCs w:val="20"/>
      <w:lang w:val="en-US"/>
    </w:rPr>
  </w:style>
  <w:style w:type="character" w:customStyle="1" w:styleId="z-TopofFormChar">
    <w:name w:val="z-Top of Form Char"/>
    <w:basedOn w:val="DefaultParagraphFont"/>
    <w:link w:val="z-TopofForm"/>
    <w:uiPriority w:val="99"/>
    <w:semiHidden/>
    <w:rsid w:val="001702AE"/>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1702AE"/>
    <w:pPr>
      <w:widowControl/>
      <w:pBdr>
        <w:bottom w:val="single" w:sz="6" w:space="1" w:color="auto"/>
      </w:pBdr>
      <w:autoSpaceDE/>
      <w:autoSpaceDN/>
      <w:spacing w:before="0" w:after="0" w:line="259" w:lineRule="auto"/>
      <w:jc w:val="center"/>
    </w:pPr>
    <w:rPr>
      <w:rFonts w:ascii="Arial" w:eastAsiaTheme="minorHAnsi" w:hAnsi="Arial" w:cs="Arial"/>
      <w:vanish/>
      <w:color w:val="auto"/>
      <w:sz w:val="16"/>
      <w:szCs w:val="16"/>
    </w:rPr>
  </w:style>
  <w:style w:type="character" w:customStyle="1" w:styleId="z-TopofFormChar1">
    <w:name w:val="z-Top of Form Char1"/>
    <w:basedOn w:val="DefaultParagraphFont"/>
    <w:uiPriority w:val="99"/>
    <w:semiHidden/>
    <w:rsid w:val="001702AE"/>
    <w:rPr>
      <w:rFonts w:ascii="Arial" w:eastAsia="AvenirNext LT Pro Bold" w:hAnsi="Arial" w:cs="Arial"/>
      <w:vanish/>
      <w:color w:val="575F61"/>
      <w:sz w:val="16"/>
      <w:szCs w:val="16"/>
      <w:lang w:val="en-US"/>
    </w:rPr>
  </w:style>
  <w:style w:type="character" w:customStyle="1" w:styleId="z-BottomofFormChar">
    <w:name w:val="z-Bottom of Form Char"/>
    <w:basedOn w:val="DefaultParagraphFont"/>
    <w:link w:val="z-BottomofForm"/>
    <w:uiPriority w:val="99"/>
    <w:semiHidden/>
    <w:rsid w:val="001702A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702AE"/>
    <w:pPr>
      <w:widowControl/>
      <w:pBdr>
        <w:top w:val="single" w:sz="6" w:space="1" w:color="auto"/>
      </w:pBdr>
      <w:autoSpaceDE/>
      <w:autoSpaceDN/>
      <w:spacing w:before="0" w:after="0" w:line="259" w:lineRule="auto"/>
      <w:jc w:val="center"/>
    </w:pPr>
    <w:rPr>
      <w:rFonts w:ascii="Arial" w:eastAsiaTheme="minorHAnsi" w:hAnsi="Arial" w:cs="Arial"/>
      <w:vanish/>
      <w:color w:val="auto"/>
      <w:sz w:val="16"/>
      <w:szCs w:val="16"/>
    </w:rPr>
  </w:style>
  <w:style w:type="character" w:customStyle="1" w:styleId="z-BottomofFormChar1">
    <w:name w:val="z-Bottom of Form Char1"/>
    <w:basedOn w:val="DefaultParagraphFont"/>
    <w:uiPriority w:val="99"/>
    <w:semiHidden/>
    <w:rsid w:val="001702AE"/>
    <w:rPr>
      <w:rFonts w:ascii="Arial" w:eastAsia="AvenirNext LT Pro Bold" w:hAnsi="Arial" w:cs="Arial"/>
      <w:vanish/>
      <w:color w:val="575F61"/>
      <w:sz w:val="16"/>
      <w:szCs w:val="16"/>
      <w:lang w:val="en-US"/>
    </w:rPr>
  </w:style>
  <w:style w:type="paragraph" w:styleId="Quote">
    <w:name w:val="Quote"/>
    <w:basedOn w:val="Normal"/>
    <w:next w:val="Normal"/>
    <w:link w:val="QuoteChar"/>
    <w:uiPriority w:val="29"/>
    <w:qFormat/>
    <w:rsid w:val="001702AE"/>
    <w:pPr>
      <w:widowControl/>
      <w:autoSpaceDE/>
      <w:autoSpaceDN/>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1702AE"/>
    <w:rPr>
      <w:i/>
      <w:iCs/>
      <w:color w:val="404040" w:themeColor="text1" w:themeTint="BF"/>
      <w:sz w:val="24"/>
    </w:rPr>
  </w:style>
  <w:style w:type="table" w:styleId="TableGridLight">
    <w:name w:val="Grid Table Light"/>
    <w:basedOn w:val="TableNormal"/>
    <w:uiPriority w:val="40"/>
    <w:rsid w:val="001702AE"/>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1702AE"/>
    <w:rPr>
      <w:i/>
      <w:iCs/>
      <w:color w:val="4472C4" w:themeColor="accent1"/>
    </w:rPr>
  </w:style>
  <w:style w:type="character" w:styleId="UnresolvedMention">
    <w:name w:val="Unresolved Mention"/>
    <w:basedOn w:val="DefaultParagraphFont"/>
    <w:uiPriority w:val="99"/>
    <w:semiHidden/>
    <w:unhideWhenUsed/>
    <w:rsid w:val="001702AE"/>
    <w:rPr>
      <w:color w:val="605E5C"/>
      <w:shd w:val="clear" w:color="auto" w:fill="E1DFDD"/>
    </w:rPr>
  </w:style>
  <w:style w:type="character" w:styleId="FollowedHyperlink">
    <w:name w:val="FollowedHyperlink"/>
    <w:basedOn w:val="DefaultParagraphFont"/>
    <w:uiPriority w:val="99"/>
    <w:semiHidden/>
    <w:unhideWhenUsed/>
    <w:rsid w:val="001702AE"/>
    <w:rPr>
      <w:color w:val="954F72" w:themeColor="followedHyperlink"/>
      <w:u w:val="single"/>
    </w:rPr>
  </w:style>
  <w:style w:type="paragraph" w:styleId="Revision">
    <w:name w:val="Revision"/>
    <w:hidden/>
    <w:uiPriority w:val="99"/>
    <w:semiHidden/>
    <w:rsid w:val="001702AE"/>
    <w:pPr>
      <w:spacing w:after="0" w:line="240" w:lineRule="auto"/>
    </w:pPr>
    <w:rPr>
      <w:rFonts w:ascii="Avenir Next" w:eastAsia="AvenirNext LT Pro Bold" w:hAnsi="Avenir Next" w:cs="AvenirNext LT Pro Bold"/>
      <w:color w:val="575F61"/>
      <w:sz w:val="24"/>
      <w:lang w:val="en-US"/>
    </w:rPr>
  </w:style>
  <w:style w:type="paragraph" w:customStyle="1" w:styleId="Blackbullets">
    <w:name w:val="Black bullets"/>
    <w:basedOn w:val="ListParagraph"/>
    <w:link w:val="BlackbulletsChar"/>
    <w:qFormat/>
    <w:rsid w:val="00FB7BEF"/>
    <w:pPr>
      <w:numPr>
        <w:numId w:val="17"/>
      </w:numPr>
      <w:spacing w:after="0"/>
      <w:ind w:left="714" w:hanging="357"/>
    </w:pPr>
  </w:style>
  <w:style w:type="character" w:customStyle="1" w:styleId="ListParagraphChar">
    <w:name w:val="List Paragraph Char"/>
    <w:aliases w:val="Bullets 2 Char"/>
    <w:basedOn w:val="DefaultParagraphFont"/>
    <w:link w:val="ListParagraph"/>
    <w:uiPriority w:val="34"/>
    <w:rsid w:val="00B0567E"/>
    <w:rPr>
      <w:rFonts w:ascii="Avenir Next" w:eastAsia="AvenirNext LT Pro Bold" w:hAnsi="Avenir Next" w:cs="AvenirNext LT Pro Bold"/>
      <w:color w:val="575F61"/>
      <w:sz w:val="24"/>
    </w:rPr>
  </w:style>
  <w:style w:type="character" w:customStyle="1" w:styleId="BlackbulletsChar">
    <w:name w:val="Black bullets Char"/>
    <w:basedOn w:val="ListParagraphChar"/>
    <w:link w:val="Blackbullets"/>
    <w:rsid w:val="00FB7BEF"/>
    <w:rPr>
      <w:rFonts w:ascii="Avenir Next" w:eastAsia="AvenirNext LT Pro Bold" w:hAnsi="Avenir Next" w:cs="AvenirNext LT Pro Bold"/>
      <w:color w:val="575F6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90.xml"/><Relationship Id="rId21" Type="http://schemas.openxmlformats.org/officeDocument/2006/relationships/chart" Target="charts/chart8.xml"/><Relationship Id="rId42" Type="http://schemas.openxmlformats.org/officeDocument/2006/relationships/control" Target="activeX/activeX16.xml"/><Relationship Id="rId63" Type="http://schemas.openxmlformats.org/officeDocument/2006/relationships/control" Target="activeX/activeX36.xml"/><Relationship Id="rId84" Type="http://schemas.openxmlformats.org/officeDocument/2006/relationships/control" Target="activeX/activeX57.xml"/><Relationship Id="rId138" Type="http://schemas.openxmlformats.org/officeDocument/2006/relationships/image" Target="media/image15.png"/><Relationship Id="rId107" Type="http://schemas.openxmlformats.org/officeDocument/2006/relationships/control" Target="activeX/activeX80.xml"/><Relationship Id="rId11" Type="http://schemas.openxmlformats.org/officeDocument/2006/relationships/image" Target="media/image3.png"/><Relationship Id="rId32" Type="http://schemas.openxmlformats.org/officeDocument/2006/relationships/image" Target="media/image6.wmf"/><Relationship Id="rId53" Type="http://schemas.openxmlformats.org/officeDocument/2006/relationships/control" Target="activeX/activeX27.xml"/><Relationship Id="rId74" Type="http://schemas.openxmlformats.org/officeDocument/2006/relationships/control" Target="activeX/activeX47.xml"/><Relationship Id="rId128" Type="http://schemas.openxmlformats.org/officeDocument/2006/relationships/control" Target="activeX/activeX101.xml"/><Relationship Id="rId149" Type="http://schemas.openxmlformats.org/officeDocument/2006/relationships/hyperlink" Target="https://www.aihw.gov.au/reports/children-youth/material-deprivation-and-financial-stress" TargetMode="External"/><Relationship Id="rId5" Type="http://schemas.openxmlformats.org/officeDocument/2006/relationships/footnotes" Target="footnotes.xml"/><Relationship Id="rId95" Type="http://schemas.openxmlformats.org/officeDocument/2006/relationships/control" Target="activeX/activeX68.xml"/><Relationship Id="rId22" Type="http://schemas.openxmlformats.org/officeDocument/2006/relationships/hyperlink" Target="https://nilstasmania.org.au/" TargetMode="External"/><Relationship Id="rId27" Type="http://schemas.openxmlformats.org/officeDocument/2006/relationships/control" Target="activeX/activeX2.xml"/><Relationship Id="rId43" Type="http://schemas.openxmlformats.org/officeDocument/2006/relationships/control" Target="activeX/activeX17.xml"/><Relationship Id="rId48" Type="http://schemas.openxmlformats.org/officeDocument/2006/relationships/control" Target="activeX/activeX22.xml"/><Relationship Id="rId64" Type="http://schemas.openxmlformats.org/officeDocument/2006/relationships/control" Target="activeX/activeX37.xml"/><Relationship Id="rId69" Type="http://schemas.openxmlformats.org/officeDocument/2006/relationships/control" Target="activeX/activeX42.xml"/><Relationship Id="rId113" Type="http://schemas.openxmlformats.org/officeDocument/2006/relationships/control" Target="activeX/activeX86.xml"/><Relationship Id="rId118" Type="http://schemas.openxmlformats.org/officeDocument/2006/relationships/control" Target="activeX/activeX91.xml"/><Relationship Id="rId134" Type="http://schemas.openxmlformats.org/officeDocument/2006/relationships/image" Target="media/image11.png"/><Relationship Id="rId139" Type="http://schemas.openxmlformats.org/officeDocument/2006/relationships/image" Target="media/image16.png"/><Relationship Id="rId80" Type="http://schemas.openxmlformats.org/officeDocument/2006/relationships/control" Target="activeX/activeX53.xml"/><Relationship Id="rId85" Type="http://schemas.openxmlformats.org/officeDocument/2006/relationships/control" Target="activeX/activeX58.xml"/><Relationship Id="rId150" Type="http://schemas.openxmlformats.org/officeDocument/2006/relationships/hyperlink" Target="https://www.aihw.gov.au/reports/mental-health-services/mental-health" TargetMode="External"/><Relationship Id="rId155" Type="http://schemas.openxmlformats.org/officeDocument/2006/relationships/theme" Target="theme/theme1.xml"/><Relationship Id="rId12" Type="http://schemas.openxmlformats.org/officeDocument/2006/relationships/hyperlink" Target="https://treasury.gov.au/consultation/c2022-338372" TargetMode="External"/><Relationship Id="rId17" Type="http://schemas.openxmlformats.org/officeDocument/2006/relationships/chart" Target="charts/chart4.xml"/><Relationship Id="rId33" Type="http://schemas.openxmlformats.org/officeDocument/2006/relationships/control" Target="activeX/activeX7.xml"/><Relationship Id="rId38" Type="http://schemas.openxmlformats.org/officeDocument/2006/relationships/control" Target="activeX/activeX12.xml"/><Relationship Id="rId59" Type="http://schemas.openxmlformats.org/officeDocument/2006/relationships/control" Target="activeX/activeX32.xml"/><Relationship Id="rId103" Type="http://schemas.openxmlformats.org/officeDocument/2006/relationships/control" Target="activeX/activeX76.xml"/><Relationship Id="rId108" Type="http://schemas.openxmlformats.org/officeDocument/2006/relationships/control" Target="activeX/activeX81.xml"/><Relationship Id="rId124" Type="http://schemas.openxmlformats.org/officeDocument/2006/relationships/control" Target="activeX/activeX97.xml"/><Relationship Id="rId129" Type="http://schemas.openxmlformats.org/officeDocument/2006/relationships/control" Target="activeX/activeX102.xml"/><Relationship Id="rId54" Type="http://schemas.openxmlformats.org/officeDocument/2006/relationships/control" Target="activeX/activeX28.xml"/><Relationship Id="rId70" Type="http://schemas.openxmlformats.org/officeDocument/2006/relationships/control" Target="activeX/activeX43.xml"/><Relationship Id="rId75" Type="http://schemas.openxmlformats.org/officeDocument/2006/relationships/control" Target="activeX/activeX48.xml"/><Relationship Id="rId91" Type="http://schemas.openxmlformats.org/officeDocument/2006/relationships/control" Target="activeX/activeX64.xml"/><Relationship Id="rId96" Type="http://schemas.openxmlformats.org/officeDocument/2006/relationships/control" Target="activeX/activeX69.xml"/><Relationship Id="rId140" Type="http://schemas.openxmlformats.org/officeDocument/2006/relationships/image" Target="media/image17.png"/><Relationship Id="rId145" Type="http://schemas.openxmlformats.org/officeDocument/2006/relationships/hyperlink" Target="https://www.abs.gov.au/statistics/people/crime-and-justice/prisoners-australia/202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ilstasmania.org.au/" TargetMode="External"/><Relationship Id="rId28" Type="http://schemas.openxmlformats.org/officeDocument/2006/relationships/control" Target="activeX/activeX3.xml"/><Relationship Id="rId49" Type="http://schemas.openxmlformats.org/officeDocument/2006/relationships/control" Target="activeX/activeX23.xml"/><Relationship Id="rId114" Type="http://schemas.openxmlformats.org/officeDocument/2006/relationships/control" Target="activeX/activeX87.xml"/><Relationship Id="rId119" Type="http://schemas.openxmlformats.org/officeDocument/2006/relationships/control" Target="activeX/activeX92.xml"/><Relationship Id="rId44" Type="http://schemas.openxmlformats.org/officeDocument/2006/relationships/control" Target="activeX/activeX18.xml"/><Relationship Id="rId60" Type="http://schemas.openxmlformats.org/officeDocument/2006/relationships/control" Target="activeX/activeX33.xml"/><Relationship Id="rId65" Type="http://schemas.openxmlformats.org/officeDocument/2006/relationships/control" Target="activeX/activeX38.xml"/><Relationship Id="rId81" Type="http://schemas.openxmlformats.org/officeDocument/2006/relationships/control" Target="activeX/activeX54.xml"/><Relationship Id="rId86" Type="http://schemas.openxmlformats.org/officeDocument/2006/relationships/control" Target="activeX/activeX59.xml"/><Relationship Id="rId130" Type="http://schemas.openxmlformats.org/officeDocument/2006/relationships/control" Target="activeX/activeX103.xml"/><Relationship Id="rId135" Type="http://schemas.openxmlformats.org/officeDocument/2006/relationships/image" Target="media/image12.png"/><Relationship Id="rId151" Type="http://schemas.openxmlformats.org/officeDocument/2006/relationships/hyperlink" Target="https://www.aihw.gov.au/mental-health/topic-areas/psychosocial-disability-support" TargetMode="External"/><Relationship Id="rId13" Type="http://schemas.openxmlformats.org/officeDocument/2006/relationships/hyperlink" Target="https://treasury.gov.au/sites/default/files/2023-02/c2022-338372-joint_consumer_group.pdf" TargetMode="External"/><Relationship Id="rId18" Type="http://schemas.openxmlformats.org/officeDocument/2006/relationships/chart" Target="charts/chart5.xml"/><Relationship Id="rId39" Type="http://schemas.openxmlformats.org/officeDocument/2006/relationships/control" Target="activeX/activeX13.xml"/><Relationship Id="rId109" Type="http://schemas.openxmlformats.org/officeDocument/2006/relationships/control" Target="activeX/activeX82.xml"/><Relationship Id="rId34" Type="http://schemas.openxmlformats.org/officeDocument/2006/relationships/control" Target="activeX/activeX8.xml"/><Relationship Id="rId50" Type="http://schemas.openxmlformats.org/officeDocument/2006/relationships/control" Target="activeX/activeX24.xml"/><Relationship Id="rId55" Type="http://schemas.openxmlformats.org/officeDocument/2006/relationships/control" Target="activeX/activeX29.xml"/><Relationship Id="rId76" Type="http://schemas.openxmlformats.org/officeDocument/2006/relationships/control" Target="activeX/activeX49.xml"/><Relationship Id="rId97" Type="http://schemas.openxmlformats.org/officeDocument/2006/relationships/control" Target="activeX/activeX70.xml"/><Relationship Id="rId104" Type="http://schemas.openxmlformats.org/officeDocument/2006/relationships/control" Target="activeX/activeX77.xml"/><Relationship Id="rId120" Type="http://schemas.openxmlformats.org/officeDocument/2006/relationships/control" Target="activeX/activeX93.xml"/><Relationship Id="rId125" Type="http://schemas.openxmlformats.org/officeDocument/2006/relationships/control" Target="activeX/activeX98.xml"/><Relationship Id="rId141" Type="http://schemas.openxmlformats.org/officeDocument/2006/relationships/image" Target="media/image18.png"/><Relationship Id="rId146" Type="http://schemas.openxmlformats.org/officeDocument/2006/relationships/hyperlink" Target="https://www.abs.gov.au/census/find-census-data/quickstats/2021/6" TargetMode="External"/><Relationship Id="rId7" Type="http://schemas.openxmlformats.org/officeDocument/2006/relationships/image" Target="media/image1.jpeg"/><Relationship Id="rId71" Type="http://schemas.openxmlformats.org/officeDocument/2006/relationships/control" Target="activeX/activeX44.xml"/><Relationship Id="rId92" Type="http://schemas.openxmlformats.org/officeDocument/2006/relationships/control" Target="activeX/activeX65.xml"/><Relationship Id="rId2" Type="http://schemas.openxmlformats.org/officeDocument/2006/relationships/styles" Target="styles.xml"/><Relationship Id="rId29" Type="http://schemas.openxmlformats.org/officeDocument/2006/relationships/control" Target="activeX/activeX4.xml"/><Relationship Id="rId24" Type="http://schemas.openxmlformats.org/officeDocument/2006/relationships/image" Target="media/image4.png"/><Relationship Id="rId40" Type="http://schemas.openxmlformats.org/officeDocument/2006/relationships/control" Target="activeX/activeX14.xml"/><Relationship Id="rId45" Type="http://schemas.openxmlformats.org/officeDocument/2006/relationships/control" Target="activeX/activeX19.xml"/><Relationship Id="rId66" Type="http://schemas.openxmlformats.org/officeDocument/2006/relationships/control" Target="activeX/activeX39.xml"/><Relationship Id="rId87" Type="http://schemas.openxmlformats.org/officeDocument/2006/relationships/control" Target="activeX/activeX60.xml"/><Relationship Id="rId110" Type="http://schemas.openxmlformats.org/officeDocument/2006/relationships/control" Target="activeX/activeX83.xml"/><Relationship Id="rId115" Type="http://schemas.openxmlformats.org/officeDocument/2006/relationships/control" Target="activeX/activeX88.xml"/><Relationship Id="rId131" Type="http://schemas.openxmlformats.org/officeDocument/2006/relationships/image" Target="media/image8.png"/><Relationship Id="rId136" Type="http://schemas.openxmlformats.org/officeDocument/2006/relationships/image" Target="media/image13.png"/><Relationship Id="rId61" Type="http://schemas.openxmlformats.org/officeDocument/2006/relationships/control" Target="activeX/activeX34.xml"/><Relationship Id="rId82" Type="http://schemas.openxmlformats.org/officeDocument/2006/relationships/control" Target="activeX/activeX55.xml"/><Relationship Id="rId152" Type="http://schemas.openxmlformats.org/officeDocument/2006/relationships/hyperlink" Target="https://aifs.gov.au/resources/short-articles/understanding-gambling-harm-and-ways-identify-those-risk" TargetMode="External"/><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control" Target="activeX/activeX5.xml"/><Relationship Id="rId35" Type="http://schemas.openxmlformats.org/officeDocument/2006/relationships/control" Target="activeX/activeX9.xml"/><Relationship Id="rId56" Type="http://schemas.openxmlformats.org/officeDocument/2006/relationships/image" Target="media/image7.wmf"/><Relationship Id="rId77" Type="http://schemas.openxmlformats.org/officeDocument/2006/relationships/control" Target="activeX/activeX50.xml"/><Relationship Id="rId100" Type="http://schemas.openxmlformats.org/officeDocument/2006/relationships/control" Target="activeX/activeX73.xml"/><Relationship Id="rId105" Type="http://schemas.openxmlformats.org/officeDocument/2006/relationships/control" Target="activeX/activeX78.xml"/><Relationship Id="rId126" Type="http://schemas.openxmlformats.org/officeDocument/2006/relationships/control" Target="activeX/activeX99.xml"/><Relationship Id="rId147" Type="http://schemas.openxmlformats.org/officeDocument/2006/relationships/hyperlink" Target="https://www.abs.gov.au/articles/tasmania-aboriginal-and-torres-strait-islander-population-summary" TargetMode="External"/><Relationship Id="rId8" Type="http://schemas.openxmlformats.org/officeDocument/2006/relationships/footer" Target="footer1.xml"/><Relationship Id="rId51" Type="http://schemas.openxmlformats.org/officeDocument/2006/relationships/control" Target="activeX/activeX25.xml"/><Relationship Id="rId72" Type="http://schemas.openxmlformats.org/officeDocument/2006/relationships/control" Target="activeX/activeX45.xml"/><Relationship Id="rId93" Type="http://schemas.openxmlformats.org/officeDocument/2006/relationships/control" Target="activeX/activeX66.xml"/><Relationship Id="rId98" Type="http://schemas.openxmlformats.org/officeDocument/2006/relationships/control" Target="activeX/activeX71.xml"/><Relationship Id="rId121" Type="http://schemas.openxmlformats.org/officeDocument/2006/relationships/control" Target="activeX/activeX94.xml"/><Relationship Id="rId142" Type="http://schemas.openxmlformats.org/officeDocument/2006/relationships/image" Target="media/image19.png"/><Relationship Id="rId3" Type="http://schemas.openxmlformats.org/officeDocument/2006/relationships/settings" Target="settings.xml"/><Relationship Id="rId25" Type="http://schemas.openxmlformats.org/officeDocument/2006/relationships/image" Target="media/image5.wmf"/><Relationship Id="rId46" Type="http://schemas.openxmlformats.org/officeDocument/2006/relationships/control" Target="activeX/activeX20.xml"/><Relationship Id="rId67" Type="http://schemas.openxmlformats.org/officeDocument/2006/relationships/control" Target="activeX/activeX40.xml"/><Relationship Id="rId116" Type="http://schemas.openxmlformats.org/officeDocument/2006/relationships/control" Target="activeX/activeX89.xml"/><Relationship Id="rId137" Type="http://schemas.openxmlformats.org/officeDocument/2006/relationships/image" Target="media/image14.png"/><Relationship Id="rId20" Type="http://schemas.openxmlformats.org/officeDocument/2006/relationships/chart" Target="charts/chart7.xml"/><Relationship Id="rId41" Type="http://schemas.openxmlformats.org/officeDocument/2006/relationships/control" Target="activeX/activeX15.xml"/><Relationship Id="rId62" Type="http://schemas.openxmlformats.org/officeDocument/2006/relationships/control" Target="activeX/activeX35.xml"/><Relationship Id="rId83" Type="http://schemas.openxmlformats.org/officeDocument/2006/relationships/control" Target="activeX/activeX56.xml"/><Relationship Id="rId88" Type="http://schemas.openxmlformats.org/officeDocument/2006/relationships/control" Target="activeX/activeX61.xml"/><Relationship Id="rId111" Type="http://schemas.openxmlformats.org/officeDocument/2006/relationships/control" Target="activeX/activeX84.xml"/><Relationship Id="rId132" Type="http://schemas.openxmlformats.org/officeDocument/2006/relationships/image" Target="media/image9.png"/><Relationship Id="rId153" Type="http://schemas.openxmlformats.org/officeDocument/2006/relationships/hyperlink" Target="https://www.education.gov.au/integrated-data-research/benefits-educational-attainment/income" TargetMode="External"/><Relationship Id="rId15" Type="http://schemas.openxmlformats.org/officeDocument/2006/relationships/chart" Target="charts/chart2.xml"/><Relationship Id="rId36" Type="http://schemas.openxmlformats.org/officeDocument/2006/relationships/control" Target="activeX/activeX10.xml"/><Relationship Id="rId57" Type="http://schemas.openxmlformats.org/officeDocument/2006/relationships/control" Target="activeX/activeX30.xml"/><Relationship Id="rId106" Type="http://schemas.openxmlformats.org/officeDocument/2006/relationships/control" Target="activeX/activeX79.xml"/><Relationship Id="rId127" Type="http://schemas.openxmlformats.org/officeDocument/2006/relationships/control" Target="activeX/activeX100.xml"/><Relationship Id="rId10" Type="http://schemas.openxmlformats.org/officeDocument/2006/relationships/image" Target="media/image2.png"/><Relationship Id="rId31" Type="http://schemas.openxmlformats.org/officeDocument/2006/relationships/control" Target="activeX/activeX6.xml"/><Relationship Id="rId52" Type="http://schemas.openxmlformats.org/officeDocument/2006/relationships/control" Target="activeX/activeX26.xml"/><Relationship Id="rId73" Type="http://schemas.openxmlformats.org/officeDocument/2006/relationships/control" Target="activeX/activeX46.xml"/><Relationship Id="rId78" Type="http://schemas.openxmlformats.org/officeDocument/2006/relationships/control" Target="activeX/activeX51.xml"/><Relationship Id="rId94" Type="http://schemas.openxmlformats.org/officeDocument/2006/relationships/control" Target="activeX/activeX67.xml"/><Relationship Id="rId99" Type="http://schemas.openxmlformats.org/officeDocument/2006/relationships/control" Target="activeX/activeX72.xml"/><Relationship Id="rId101" Type="http://schemas.openxmlformats.org/officeDocument/2006/relationships/control" Target="activeX/activeX74.xml"/><Relationship Id="rId122" Type="http://schemas.openxmlformats.org/officeDocument/2006/relationships/control" Target="activeX/activeX95.xml"/><Relationship Id="rId143" Type="http://schemas.openxmlformats.org/officeDocument/2006/relationships/image" Target="media/image20.png"/><Relationship Id="rId148" Type="http://schemas.openxmlformats.org/officeDocument/2006/relationships/hyperlink" Target="https://www.abs.gov.au/statistics/people/housing/estimating-homelessness-census/2021" TargetMode="Externa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control" Target="activeX/activeX1.xml"/><Relationship Id="rId47" Type="http://schemas.openxmlformats.org/officeDocument/2006/relationships/control" Target="activeX/activeX21.xml"/><Relationship Id="rId68" Type="http://schemas.openxmlformats.org/officeDocument/2006/relationships/control" Target="activeX/activeX41.xml"/><Relationship Id="rId89" Type="http://schemas.openxmlformats.org/officeDocument/2006/relationships/control" Target="activeX/activeX62.xml"/><Relationship Id="rId112" Type="http://schemas.openxmlformats.org/officeDocument/2006/relationships/control" Target="activeX/activeX85.xml"/><Relationship Id="rId133" Type="http://schemas.openxmlformats.org/officeDocument/2006/relationships/image" Target="media/image10.png"/><Relationship Id="rId154" Type="http://schemas.openxmlformats.org/officeDocument/2006/relationships/fontTable" Target="fontTable.xml"/><Relationship Id="rId16" Type="http://schemas.openxmlformats.org/officeDocument/2006/relationships/chart" Target="charts/chart3.xml"/><Relationship Id="rId37" Type="http://schemas.openxmlformats.org/officeDocument/2006/relationships/control" Target="activeX/activeX11.xml"/><Relationship Id="rId58" Type="http://schemas.openxmlformats.org/officeDocument/2006/relationships/control" Target="activeX/activeX31.xml"/><Relationship Id="rId79" Type="http://schemas.openxmlformats.org/officeDocument/2006/relationships/control" Target="activeX/activeX52.xml"/><Relationship Id="rId102" Type="http://schemas.openxmlformats.org/officeDocument/2006/relationships/control" Target="activeX/activeX75.xml"/><Relationship Id="rId123" Type="http://schemas.openxmlformats.org/officeDocument/2006/relationships/control" Target="activeX/activeX96.xml"/><Relationship Id="rId144" Type="http://schemas.openxmlformats.org/officeDocument/2006/relationships/hyperlink" Target="https://www.abs.gov.au/articles/psychosocial-disability" TargetMode="External"/><Relationship Id="rId90" Type="http://schemas.openxmlformats.org/officeDocument/2006/relationships/control" Target="activeX/activeX63.xml"/></Relationships>
</file>

<file path=word/_rels/footnotes.xml.rels><?xml version="1.0" encoding="UTF-8" standalone="yes"?>
<Relationships xmlns="http://schemas.openxmlformats.org/package/2006/relationships"><Relationship Id="rId3" Type="http://schemas.openxmlformats.org/officeDocument/2006/relationships/hyperlink" Target="https://my.gov.au/en/services/work/experiencing-financial-hardship/advance-payment" TargetMode="External"/><Relationship Id="rId2" Type="http://schemas.openxmlformats.org/officeDocument/2006/relationships/hyperlink" Target="https://www.raisetherate.org.au/" TargetMode="External"/><Relationship Id="rId1" Type="http://schemas.openxmlformats.org/officeDocument/2006/relationships/hyperlink" Target="https://treasury.gov.au/consultation/c2022-338372" TargetMode="External"/><Relationship Id="rId5" Type="http://schemas.openxmlformats.org/officeDocument/2006/relationships/hyperlink" Target="https://treasury.gov.au/consultation/c2022-338372" TargetMode="External"/><Relationship Id="rId4" Type="http://schemas.openxmlformats.org/officeDocument/2006/relationships/hyperlink" Target="https://www.safeathome.tas.gov.au/services/financial-support-for-victims/flexible-support-package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A-5CC6-11CF-8D67-00AA00BDCE1D}" ax:persistence="persistStream" r:id="rId1"/>
</file>

<file path=word/activeX/activeX102.xml><?xml version="1.0" encoding="utf-8"?>
<ax:ocx xmlns:ax="http://schemas.microsoft.com/office/2006/activeX" xmlns:r="http://schemas.openxmlformats.org/officeDocument/2006/relationships" ax:classid="{5512D11A-5CC6-11CF-8D67-00AA00BDCE1D}" ax:persistence="persistStream" r:id="rId1"/>
</file>

<file path=word/activeX/activeX103.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A-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A-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A-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1.%20People\Alexandra\Buy%20Now%20Pay%20Later\Latest\Data%20&amp;%20Graphs\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1.%20People\Alexandra\Buy%20Now%20Pay%20Later\Latest\Data%20Files\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as-fileserv1.anglicare-tas.org.au\Program%20Share\SARC\1.%20People\Alexandra\Buy%20Now%20Pay%20Later\Latest\Data%20&amp;%20Graphs\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as-fileserv1.anglicare-tas.org.au\Program%20Share\SARC\1.%20People\Alexandra\Buy%20Now%20Pay%20Later\Latest\Data%20Files\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as-fileserv1.anglicare-tas.org.au\Program%20Share\SARC\1.%20People\Alexandra\Buy%20Now%20Pay%20Later\Latest\Data%20&amp;%20Graphs\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Gender!$B$7</c:f>
              <c:strCache>
                <c:ptCount val="1"/>
                <c:pt idx="0">
                  <c:v>Clients with BNPL debts</c:v>
                </c:pt>
              </c:strCache>
            </c:strRef>
          </c:tx>
          <c:spPr>
            <a:solidFill>
              <a:srgbClr val="1598CB"/>
            </a:solidFill>
            <a:ln>
              <a:noFill/>
            </a:ln>
            <a:effectLst/>
          </c:spPr>
          <c:invertIfNegative val="0"/>
          <c:cat>
            <c:strRef>
              <c:f>Gender!$C$6:$D$6</c:f>
              <c:strCache>
                <c:ptCount val="2"/>
                <c:pt idx="0">
                  <c:v>Female</c:v>
                </c:pt>
                <c:pt idx="1">
                  <c:v>Male</c:v>
                </c:pt>
              </c:strCache>
            </c:strRef>
          </c:cat>
          <c:val>
            <c:numRef>
              <c:f>Gender!$C$7:$D$7</c:f>
              <c:numCache>
                <c:formatCode>0%</c:formatCode>
                <c:ptCount val="2"/>
                <c:pt idx="0">
                  <c:v>0.71</c:v>
                </c:pt>
                <c:pt idx="1">
                  <c:v>0.28999999999999998</c:v>
                </c:pt>
              </c:numCache>
            </c:numRef>
          </c:val>
          <c:extLst>
            <c:ext xmlns:c16="http://schemas.microsoft.com/office/drawing/2014/chart" uri="{C3380CC4-5D6E-409C-BE32-E72D297353CC}">
              <c16:uniqueId val="{00000000-3A73-4CE4-918D-C93C2E418B0E}"/>
            </c:ext>
          </c:extLst>
        </c:ser>
        <c:ser>
          <c:idx val="1"/>
          <c:order val="1"/>
          <c:tx>
            <c:strRef>
              <c:f>Gender!$B$8</c:f>
              <c:strCache>
                <c:ptCount val="1"/>
                <c:pt idx="0">
                  <c:v>Clients with no BNPL debts</c:v>
                </c:pt>
              </c:strCache>
            </c:strRef>
          </c:tx>
          <c:spPr>
            <a:solidFill>
              <a:srgbClr val="E7B52A"/>
            </a:solidFill>
            <a:ln>
              <a:noFill/>
            </a:ln>
            <a:effectLst/>
          </c:spPr>
          <c:invertIfNegative val="0"/>
          <c:cat>
            <c:strRef>
              <c:f>Gender!$C$6:$D$6</c:f>
              <c:strCache>
                <c:ptCount val="2"/>
                <c:pt idx="0">
                  <c:v>Female</c:v>
                </c:pt>
                <c:pt idx="1">
                  <c:v>Male</c:v>
                </c:pt>
              </c:strCache>
            </c:strRef>
          </c:cat>
          <c:val>
            <c:numRef>
              <c:f>Gender!$C$8:$D$8</c:f>
              <c:numCache>
                <c:formatCode>0%</c:formatCode>
                <c:ptCount val="2"/>
                <c:pt idx="0">
                  <c:v>0.36</c:v>
                </c:pt>
                <c:pt idx="1">
                  <c:v>0.64</c:v>
                </c:pt>
              </c:numCache>
            </c:numRef>
          </c:val>
          <c:extLst>
            <c:ext xmlns:c16="http://schemas.microsoft.com/office/drawing/2014/chart" uri="{C3380CC4-5D6E-409C-BE32-E72D297353CC}">
              <c16:uniqueId val="{00000001-3A73-4CE4-918D-C93C2E418B0E}"/>
            </c:ext>
          </c:extLst>
        </c:ser>
        <c:dLbls>
          <c:showLegendKey val="0"/>
          <c:showVal val="0"/>
          <c:showCatName val="0"/>
          <c:showSerName val="0"/>
          <c:showPercent val="0"/>
          <c:showBubbleSize val="0"/>
        </c:dLbls>
        <c:gapWidth val="182"/>
        <c:axId val="562296016"/>
        <c:axId val="565890576"/>
      </c:barChart>
      <c:catAx>
        <c:axId val="562296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890576"/>
        <c:crosses val="autoZero"/>
        <c:auto val="1"/>
        <c:lblAlgn val="ctr"/>
        <c:lblOffset val="100"/>
        <c:noMultiLvlLbl val="0"/>
      </c:catAx>
      <c:valAx>
        <c:axId val="5658905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29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Age!$B$10</c:f>
              <c:strCache>
                <c:ptCount val="1"/>
                <c:pt idx="0">
                  <c:v>Clients with BNPL debts</c:v>
                </c:pt>
              </c:strCache>
            </c:strRef>
          </c:tx>
          <c:spPr>
            <a:solidFill>
              <a:srgbClr val="1598CB"/>
            </a:solidFill>
            <a:ln>
              <a:noFill/>
            </a:ln>
            <a:effectLst/>
          </c:spPr>
          <c:invertIfNegative val="0"/>
          <c:dPt>
            <c:idx val="0"/>
            <c:invertIfNegative val="0"/>
            <c:bubble3D val="0"/>
            <c:spPr>
              <a:solidFill>
                <a:srgbClr val="1598CB"/>
              </a:solidFill>
              <a:ln>
                <a:noFill/>
              </a:ln>
              <a:effectLst/>
            </c:spPr>
            <c:extLst>
              <c:ext xmlns:c16="http://schemas.microsoft.com/office/drawing/2014/chart" uri="{C3380CC4-5D6E-409C-BE32-E72D297353CC}">
                <c16:uniqueId val="{00000001-6E67-4C52-AC5C-43E6516A8EF4}"/>
              </c:ext>
            </c:extLst>
          </c:dPt>
          <c:cat>
            <c:strRef>
              <c:f>Age!$C$9:$D$9</c:f>
              <c:strCache>
                <c:ptCount val="2"/>
                <c:pt idx="0">
                  <c:v>Aged under 25 years</c:v>
                </c:pt>
                <c:pt idx="1">
                  <c:v>Aged 60 years and over</c:v>
                </c:pt>
              </c:strCache>
            </c:strRef>
          </c:cat>
          <c:val>
            <c:numRef>
              <c:f>Age!$C$10:$D$10</c:f>
              <c:numCache>
                <c:formatCode>0%</c:formatCode>
                <c:ptCount val="2"/>
                <c:pt idx="0">
                  <c:v>0.18</c:v>
                </c:pt>
                <c:pt idx="1">
                  <c:v>0.05</c:v>
                </c:pt>
              </c:numCache>
            </c:numRef>
          </c:val>
          <c:extLst>
            <c:ext xmlns:c16="http://schemas.microsoft.com/office/drawing/2014/chart" uri="{C3380CC4-5D6E-409C-BE32-E72D297353CC}">
              <c16:uniqueId val="{00000002-6E67-4C52-AC5C-43E6516A8EF4}"/>
            </c:ext>
          </c:extLst>
        </c:ser>
        <c:ser>
          <c:idx val="1"/>
          <c:order val="1"/>
          <c:tx>
            <c:strRef>
              <c:f>Age!$B$11</c:f>
              <c:strCache>
                <c:ptCount val="1"/>
                <c:pt idx="0">
                  <c:v>Clients with no BNPL debts</c:v>
                </c:pt>
              </c:strCache>
            </c:strRef>
          </c:tx>
          <c:spPr>
            <a:solidFill>
              <a:srgbClr val="E7B52A"/>
            </a:solidFill>
            <a:ln>
              <a:noFill/>
            </a:ln>
            <a:effectLst/>
          </c:spPr>
          <c:invertIfNegative val="0"/>
          <c:cat>
            <c:strRef>
              <c:f>Age!$C$9:$D$9</c:f>
              <c:strCache>
                <c:ptCount val="2"/>
                <c:pt idx="0">
                  <c:v>Aged under 25 years</c:v>
                </c:pt>
                <c:pt idx="1">
                  <c:v>Aged 60 years and over</c:v>
                </c:pt>
              </c:strCache>
            </c:strRef>
          </c:cat>
          <c:val>
            <c:numRef>
              <c:f>Age!$C$11:$D$11</c:f>
              <c:numCache>
                <c:formatCode>0%</c:formatCode>
                <c:ptCount val="2"/>
                <c:pt idx="0">
                  <c:v>7.0000000000000007E-2</c:v>
                </c:pt>
                <c:pt idx="1">
                  <c:v>0.18</c:v>
                </c:pt>
              </c:numCache>
            </c:numRef>
          </c:val>
          <c:extLst>
            <c:ext xmlns:c16="http://schemas.microsoft.com/office/drawing/2014/chart" uri="{C3380CC4-5D6E-409C-BE32-E72D297353CC}">
              <c16:uniqueId val="{00000003-6E67-4C52-AC5C-43E6516A8EF4}"/>
            </c:ext>
          </c:extLst>
        </c:ser>
        <c:dLbls>
          <c:showLegendKey val="0"/>
          <c:showVal val="0"/>
          <c:showCatName val="0"/>
          <c:showSerName val="0"/>
          <c:showPercent val="0"/>
          <c:showBubbleSize val="0"/>
        </c:dLbls>
        <c:gapWidth val="182"/>
        <c:axId val="632002832"/>
        <c:axId val="632384448"/>
      </c:barChart>
      <c:catAx>
        <c:axId val="632002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384448"/>
        <c:crosses val="autoZero"/>
        <c:auto val="1"/>
        <c:lblAlgn val="ctr"/>
        <c:lblOffset val="100"/>
        <c:noMultiLvlLbl val="0"/>
      </c:catAx>
      <c:valAx>
        <c:axId val="6323844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00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ATSI!$A$6</c:f>
              <c:strCache>
                <c:ptCount val="1"/>
                <c:pt idx="0">
                  <c:v>Clients with BNPL debts</c:v>
                </c:pt>
              </c:strCache>
            </c:strRef>
          </c:tx>
          <c:spPr>
            <a:solidFill>
              <a:srgbClr val="1598CB"/>
            </a:solidFill>
            <a:ln>
              <a:noFill/>
            </a:ln>
            <a:effectLst/>
          </c:spPr>
          <c:invertIfNegative val="0"/>
          <c:cat>
            <c:strRef>
              <c:f>ATSI!$B$5:$C$5</c:f>
              <c:strCache>
                <c:ptCount val="2"/>
                <c:pt idx="0">
                  <c:v>Aboriginal and/or Torres Strait Islander</c:v>
                </c:pt>
                <c:pt idx="1">
                  <c:v>Not Aboriginal and/or Torres Strait Islander</c:v>
                </c:pt>
              </c:strCache>
            </c:strRef>
          </c:cat>
          <c:val>
            <c:numRef>
              <c:f>ATSI!$B$6:$C$6</c:f>
              <c:numCache>
                <c:formatCode>0%</c:formatCode>
                <c:ptCount val="2"/>
                <c:pt idx="0">
                  <c:v>0.2</c:v>
                </c:pt>
                <c:pt idx="1">
                  <c:v>0.8</c:v>
                </c:pt>
              </c:numCache>
            </c:numRef>
          </c:val>
          <c:extLst>
            <c:ext xmlns:c16="http://schemas.microsoft.com/office/drawing/2014/chart" uri="{C3380CC4-5D6E-409C-BE32-E72D297353CC}">
              <c16:uniqueId val="{00000000-3670-473F-A113-65AE64D24272}"/>
            </c:ext>
          </c:extLst>
        </c:ser>
        <c:ser>
          <c:idx val="1"/>
          <c:order val="1"/>
          <c:tx>
            <c:strRef>
              <c:f>ATSI!$A$7</c:f>
              <c:strCache>
                <c:ptCount val="1"/>
                <c:pt idx="0">
                  <c:v>Clients with no BNPL debts</c:v>
                </c:pt>
              </c:strCache>
            </c:strRef>
          </c:tx>
          <c:spPr>
            <a:solidFill>
              <a:srgbClr val="E7B52A"/>
            </a:solidFill>
            <a:ln>
              <a:noFill/>
            </a:ln>
            <a:effectLst/>
          </c:spPr>
          <c:invertIfNegative val="0"/>
          <c:cat>
            <c:strRef>
              <c:f>ATSI!$B$5:$C$5</c:f>
              <c:strCache>
                <c:ptCount val="2"/>
                <c:pt idx="0">
                  <c:v>Aboriginal and/or Torres Strait Islander</c:v>
                </c:pt>
                <c:pt idx="1">
                  <c:v>Not Aboriginal and/or Torres Strait Islander</c:v>
                </c:pt>
              </c:strCache>
            </c:strRef>
          </c:cat>
          <c:val>
            <c:numRef>
              <c:f>ATSI!$B$7:$C$7</c:f>
              <c:numCache>
                <c:formatCode>0%</c:formatCode>
                <c:ptCount val="2"/>
                <c:pt idx="0">
                  <c:v>0.12</c:v>
                </c:pt>
                <c:pt idx="1">
                  <c:v>0.88</c:v>
                </c:pt>
              </c:numCache>
            </c:numRef>
          </c:val>
          <c:extLst>
            <c:ext xmlns:c16="http://schemas.microsoft.com/office/drawing/2014/chart" uri="{C3380CC4-5D6E-409C-BE32-E72D297353CC}">
              <c16:uniqueId val="{00000001-3670-473F-A113-65AE64D24272}"/>
            </c:ext>
          </c:extLst>
        </c:ser>
        <c:dLbls>
          <c:showLegendKey val="0"/>
          <c:showVal val="0"/>
          <c:showCatName val="0"/>
          <c:showSerName val="0"/>
          <c:showPercent val="0"/>
          <c:showBubbleSize val="0"/>
        </c:dLbls>
        <c:gapWidth val="182"/>
        <c:axId val="559527552"/>
        <c:axId val="563082288"/>
      </c:barChart>
      <c:catAx>
        <c:axId val="55952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082288"/>
        <c:crosses val="autoZero"/>
        <c:auto val="1"/>
        <c:lblAlgn val="ctr"/>
        <c:lblOffset val="100"/>
        <c:noMultiLvlLbl val="0"/>
      </c:catAx>
      <c:valAx>
        <c:axId val="5630822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52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Marital!$A$4</c:f>
              <c:strCache>
                <c:ptCount val="1"/>
                <c:pt idx="0">
                  <c:v>Clients with BNPL debts</c:v>
                </c:pt>
              </c:strCache>
            </c:strRef>
          </c:tx>
          <c:spPr>
            <a:solidFill>
              <a:srgbClr val="1598CB"/>
            </a:solidFill>
            <a:ln>
              <a:noFill/>
            </a:ln>
            <a:effectLst/>
          </c:spPr>
          <c:invertIfNegative val="0"/>
          <c:cat>
            <c:strRef>
              <c:f>Marital!$B$3:$D$3</c:f>
              <c:strCache>
                <c:ptCount val="3"/>
                <c:pt idx="0">
                  <c:v>Divorced or separated</c:v>
                </c:pt>
                <c:pt idx="1">
                  <c:v>Never married</c:v>
                </c:pt>
                <c:pt idx="2">
                  <c:v>Married or de-facto</c:v>
                </c:pt>
              </c:strCache>
            </c:strRef>
          </c:cat>
          <c:val>
            <c:numRef>
              <c:f>Marital!$B$4:$D$4</c:f>
              <c:numCache>
                <c:formatCode>0%</c:formatCode>
                <c:ptCount val="3"/>
                <c:pt idx="0">
                  <c:v>0.38</c:v>
                </c:pt>
                <c:pt idx="1">
                  <c:v>0.46</c:v>
                </c:pt>
                <c:pt idx="2">
                  <c:v>0.15</c:v>
                </c:pt>
              </c:numCache>
            </c:numRef>
          </c:val>
          <c:extLst>
            <c:ext xmlns:c16="http://schemas.microsoft.com/office/drawing/2014/chart" uri="{C3380CC4-5D6E-409C-BE32-E72D297353CC}">
              <c16:uniqueId val="{00000000-14B1-4F7D-BBB6-7E9C818FD504}"/>
            </c:ext>
          </c:extLst>
        </c:ser>
        <c:ser>
          <c:idx val="1"/>
          <c:order val="1"/>
          <c:tx>
            <c:strRef>
              <c:f>Marital!$A$5</c:f>
              <c:strCache>
                <c:ptCount val="1"/>
                <c:pt idx="0">
                  <c:v>Clients with no BNPL debts</c:v>
                </c:pt>
              </c:strCache>
            </c:strRef>
          </c:tx>
          <c:spPr>
            <a:solidFill>
              <a:srgbClr val="E7B52A"/>
            </a:solidFill>
            <a:ln>
              <a:noFill/>
            </a:ln>
            <a:effectLst/>
          </c:spPr>
          <c:invertIfNegative val="0"/>
          <c:cat>
            <c:strRef>
              <c:f>Marital!$B$3:$D$3</c:f>
              <c:strCache>
                <c:ptCount val="3"/>
                <c:pt idx="0">
                  <c:v>Divorced or separated</c:v>
                </c:pt>
                <c:pt idx="1">
                  <c:v>Never married</c:v>
                </c:pt>
                <c:pt idx="2">
                  <c:v>Married or de-facto</c:v>
                </c:pt>
              </c:strCache>
            </c:strRef>
          </c:cat>
          <c:val>
            <c:numRef>
              <c:f>Marital!$B$5:$D$5</c:f>
              <c:numCache>
                <c:formatCode>0%</c:formatCode>
                <c:ptCount val="3"/>
                <c:pt idx="0">
                  <c:v>0.34</c:v>
                </c:pt>
                <c:pt idx="1">
                  <c:v>0.37</c:v>
                </c:pt>
                <c:pt idx="2">
                  <c:v>0.24</c:v>
                </c:pt>
              </c:numCache>
            </c:numRef>
          </c:val>
          <c:extLst>
            <c:ext xmlns:c16="http://schemas.microsoft.com/office/drawing/2014/chart" uri="{C3380CC4-5D6E-409C-BE32-E72D297353CC}">
              <c16:uniqueId val="{00000001-14B1-4F7D-BBB6-7E9C818FD504}"/>
            </c:ext>
          </c:extLst>
        </c:ser>
        <c:dLbls>
          <c:showLegendKey val="0"/>
          <c:showVal val="0"/>
          <c:showCatName val="0"/>
          <c:showSerName val="0"/>
          <c:showPercent val="0"/>
          <c:showBubbleSize val="0"/>
        </c:dLbls>
        <c:gapWidth val="182"/>
        <c:axId val="1771899904"/>
        <c:axId val="1744423952"/>
      </c:barChart>
      <c:catAx>
        <c:axId val="1771899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4423952"/>
        <c:crosses val="autoZero"/>
        <c:auto val="1"/>
        <c:lblAlgn val="ctr"/>
        <c:lblOffset val="100"/>
        <c:noMultiLvlLbl val="0"/>
      </c:catAx>
      <c:valAx>
        <c:axId val="17444239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189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'Income Support Payments'!$A$3</c:f>
              <c:strCache>
                <c:ptCount val="1"/>
                <c:pt idx="0">
                  <c:v>Clients with BNPL debts</c:v>
                </c:pt>
              </c:strCache>
            </c:strRef>
          </c:tx>
          <c:spPr>
            <a:solidFill>
              <a:srgbClr val="1598CB"/>
            </a:solidFill>
            <a:ln>
              <a:noFill/>
            </a:ln>
            <a:effectLst/>
          </c:spPr>
          <c:invertIfNegative val="0"/>
          <c:cat>
            <c:strRef>
              <c:f>'Income Support Payments'!$B$2:$C$2</c:f>
              <c:strCache>
                <c:ptCount val="2"/>
                <c:pt idx="0">
                  <c:v>Receiving Income Support Payments</c:v>
                </c:pt>
                <c:pt idx="1">
                  <c:v>Not receiving Income Support Payments</c:v>
                </c:pt>
              </c:strCache>
            </c:strRef>
          </c:cat>
          <c:val>
            <c:numRef>
              <c:f>'Income Support Payments'!$B$3:$C$3</c:f>
              <c:numCache>
                <c:formatCode>0%</c:formatCode>
                <c:ptCount val="2"/>
                <c:pt idx="0">
                  <c:v>0.81</c:v>
                </c:pt>
                <c:pt idx="1">
                  <c:v>0.19</c:v>
                </c:pt>
              </c:numCache>
            </c:numRef>
          </c:val>
          <c:extLst>
            <c:ext xmlns:c16="http://schemas.microsoft.com/office/drawing/2014/chart" uri="{C3380CC4-5D6E-409C-BE32-E72D297353CC}">
              <c16:uniqueId val="{00000000-86CC-4AA5-AE27-731520B35B88}"/>
            </c:ext>
          </c:extLst>
        </c:ser>
        <c:ser>
          <c:idx val="1"/>
          <c:order val="1"/>
          <c:tx>
            <c:strRef>
              <c:f>'Income Support Payments'!$A$4</c:f>
              <c:strCache>
                <c:ptCount val="1"/>
                <c:pt idx="0">
                  <c:v>Clients with no BNPL debts</c:v>
                </c:pt>
              </c:strCache>
            </c:strRef>
          </c:tx>
          <c:spPr>
            <a:solidFill>
              <a:srgbClr val="E7B52A"/>
            </a:solidFill>
            <a:ln>
              <a:noFill/>
            </a:ln>
            <a:effectLst/>
          </c:spPr>
          <c:invertIfNegative val="0"/>
          <c:cat>
            <c:strRef>
              <c:f>'Income Support Payments'!$B$2:$C$2</c:f>
              <c:strCache>
                <c:ptCount val="2"/>
                <c:pt idx="0">
                  <c:v>Receiving Income Support Payments</c:v>
                </c:pt>
                <c:pt idx="1">
                  <c:v>Not receiving Income Support Payments</c:v>
                </c:pt>
              </c:strCache>
            </c:strRef>
          </c:cat>
          <c:val>
            <c:numRef>
              <c:f>'Income Support Payments'!$B$4:$C$4</c:f>
              <c:numCache>
                <c:formatCode>0%</c:formatCode>
                <c:ptCount val="2"/>
                <c:pt idx="0">
                  <c:v>0.48</c:v>
                </c:pt>
                <c:pt idx="1">
                  <c:v>0.52</c:v>
                </c:pt>
              </c:numCache>
            </c:numRef>
          </c:val>
          <c:extLst>
            <c:ext xmlns:c16="http://schemas.microsoft.com/office/drawing/2014/chart" uri="{C3380CC4-5D6E-409C-BE32-E72D297353CC}">
              <c16:uniqueId val="{00000001-86CC-4AA5-AE27-731520B35B88}"/>
            </c:ext>
          </c:extLst>
        </c:ser>
        <c:dLbls>
          <c:showLegendKey val="0"/>
          <c:showVal val="0"/>
          <c:showCatName val="0"/>
          <c:showSerName val="0"/>
          <c:showPercent val="0"/>
          <c:showBubbleSize val="0"/>
        </c:dLbls>
        <c:gapWidth val="182"/>
        <c:axId val="838590752"/>
        <c:axId val="838070960"/>
      </c:barChart>
      <c:catAx>
        <c:axId val="838590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070960"/>
        <c:crosses val="autoZero"/>
        <c:auto val="1"/>
        <c:lblAlgn val="ctr"/>
        <c:lblOffset val="100"/>
        <c:noMultiLvlLbl val="0"/>
      </c:catAx>
      <c:valAx>
        <c:axId val="8380709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59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'Housing tenure'!$A$5</c:f>
              <c:strCache>
                <c:ptCount val="1"/>
                <c:pt idx="0">
                  <c:v>Clients with BNPL debts</c:v>
                </c:pt>
              </c:strCache>
            </c:strRef>
          </c:tx>
          <c:spPr>
            <a:solidFill>
              <a:srgbClr val="1598CB"/>
            </a:solidFill>
            <a:ln>
              <a:noFill/>
            </a:ln>
            <a:effectLst/>
          </c:spPr>
          <c:invertIfNegative val="0"/>
          <c:cat>
            <c:strRef>
              <c:f>'Housing tenure'!$B$4:$E$4</c:f>
              <c:strCache>
                <c:ptCount val="4"/>
                <c:pt idx="0">
                  <c:v>Renting - public</c:v>
                </c:pt>
                <c:pt idx="1">
                  <c:v>Renting - private</c:v>
                </c:pt>
                <c:pt idx="2">
                  <c:v>Being purchased</c:v>
                </c:pt>
                <c:pt idx="3">
                  <c:v>Fully owned</c:v>
                </c:pt>
              </c:strCache>
            </c:strRef>
          </c:cat>
          <c:val>
            <c:numRef>
              <c:f>'Housing tenure'!$B$5:$E$5</c:f>
              <c:numCache>
                <c:formatCode>0%</c:formatCode>
                <c:ptCount val="4"/>
                <c:pt idx="0">
                  <c:v>0.24</c:v>
                </c:pt>
                <c:pt idx="1">
                  <c:v>0.33</c:v>
                </c:pt>
                <c:pt idx="2">
                  <c:v>0.11</c:v>
                </c:pt>
                <c:pt idx="3">
                  <c:v>0.02</c:v>
                </c:pt>
              </c:numCache>
            </c:numRef>
          </c:val>
          <c:extLst>
            <c:ext xmlns:c16="http://schemas.microsoft.com/office/drawing/2014/chart" uri="{C3380CC4-5D6E-409C-BE32-E72D297353CC}">
              <c16:uniqueId val="{00000000-7998-447E-AB70-36187F0FA9DE}"/>
            </c:ext>
          </c:extLst>
        </c:ser>
        <c:ser>
          <c:idx val="1"/>
          <c:order val="1"/>
          <c:tx>
            <c:strRef>
              <c:f>'Housing tenure'!$A$6</c:f>
              <c:strCache>
                <c:ptCount val="1"/>
                <c:pt idx="0">
                  <c:v>Clients with no BNPL debts</c:v>
                </c:pt>
              </c:strCache>
            </c:strRef>
          </c:tx>
          <c:spPr>
            <a:solidFill>
              <a:srgbClr val="E7B52A"/>
            </a:solidFill>
            <a:ln>
              <a:noFill/>
            </a:ln>
            <a:effectLst/>
          </c:spPr>
          <c:invertIfNegative val="0"/>
          <c:cat>
            <c:strRef>
              <c:f>'Housing tenure'!$B$4:$E$4</c:f>
              <c:strCache>
                <c:ptCount val="4"/>
                <c:pt idx="0">
                  <c:v>Renting - public</c:v>
                </c:pt>
                <c:pt idx="1">
                  <c:v>Renting - private</c:v>
                </c:pt>
                <c:pt idx="2">
                  <c:v>Being purchased</c:v>
                </c:pt>
                <c:pt idx="3">
                  <c:v>Fully owned</c:v>
                </c:pt>
              </c:strCache>
            </c:strRef>
          </c:cat>
          <c:val>
            <c:numRef>
              <c:f>'Housing tenure'!$B$6:$E$6</c:f>
              <c:numCache>
                <c:formatCode>0%</c:formatCode>
                <c:ptCount val="4"/>
                <c:pt idx="0">
                  <c:v>0.17</c:v>
                </c:pt>
                <c:pt idx="1">
                  <c:v>0.31</c:v>
                </c:pt>
                <c:pt idx="2">
                  <c:v>0.22</c:v>
                </c:pt>
                <c:pt idx="3">
                  <c:v>0.06</c:v>
                </c:pt>
              </c:numCache>
            </c:numRef>
          </c:val>
          <c:extLst>
            <c:ext xmlns:c16="http://schemas.microsoft.com/office/drawing/2014/chart" uri="{C3380CC4-5D6E-409C-BE32-E72D297353CC}">
              <c16:uniqueId val="{00000001-7998-447E-AB70-36187F0FA9DE}"/>
            </c:ext>
          </c:extLst>
        </c:ser>
        <c:dLbls>
          <c:showLegendKey val="0"/>
          <c:showVal val="0"/>
          <c:showCatName val="0"/>
          <c:showSerName val="0"/>
          <c:showPercent val="0"/>
          <c:showBubbleSize val="0"/>
        </c:dLbls>
        <c:gapWidth val="182"/>
        <c:axId val="613763439"/>
        <c:axId val="803142303"/>
      </c:barChart>
      <c:catAx>
        <c:axId val="6137634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3142303"/>
        <c:crosses val="autoZero"/>
        <c:auto val="1"/>
        <c:lblAlgn val="ctr"/>
        <c:lblOffset val="100"/>
        <c:noMultiLvlLbl val="0"/>
      </c:catAx>
      <c:valAx>
        <c:axId val="80314230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763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FV!$A$3</c:f>
              <c:strCache>
                <c:ptCount val="1"/>
                <c:pt idx="0">
                  <c:v>Clients with BNPL debts</c:v>
                </c:pt>
              </c:strCache>
            </c:strRef>
          </c:tx>
          <c:spPr>
            <a:solidFill>
              <a:srgbClr val="1598CB"/>
            </a:solidFill>
            <a:ln>
              <a:noFill/>
            </a:ln>
            <a:effectLst/>
          </c:spPr>
          <c:invertIfNegative val="0"/>
          <c:cat>
            <c:strRef>
              <c:f>FV!$B$2</c:f>
              <c:strCache>
                <c:ptCount val="1"/>
                <c:pt idx="0">
                  <c:v>Victim survivor of family violence</c:v>
                </c:pt>
              </c:strCache>
            </c:strRef>
          </c:cat>
          <c:val>
            <c:numRef>
              <c:f>FV!$B$3</c:f>
              <c:numCache>
                <c:formatCode>0%</c:formatCode>
                <c:ptCount val="1"/>
                <c:pt idx="0">
                  <c:v>0.21</c:v>
                </c:pt>
              </c:numCache>
            </c:numRef>
          </c:val>
          <c:extLst>
            <c:ext xmlns:c16="http://schemas.microsoft.com/office/drawing/2014/chart" uri="{C3380CC4-5D6E-409C-BE32-E72D297353CC}">
              <c16:uniqueId val="{00000000-B778-4E51-8259-969DE7D54E86}"/>
            </c:ext>
          </c:extLst>
        </c:ser>
        <c:ser>
          <c:idx val="1"/>
          <c:order val="1"/>
          <c:tx>
            <c:strRef>
              <c:f>FV!$A$4</c:f>
              <c:strCache>
                <c:ptCount val="1"/>
                <c:pt idx="0">
                  <c:v>Clients with no BNPL debts</c:v>
                </c:pt>
              </c:strCache>
            </c:strRef>
          </c:tx>
          <c:spPr>
            <a:solidFill>
              <a:srgbClr val="E7B52A"/>
            </a:solidFill>
            <a:ln>
              <a:noFill/>
            </a:ln>
            <a:effectLst/>
          </c:spPr>
          <c:invertIfNegative val="0"/>
          <c:cat>
            <c:strRef>
              <c:f>FV!$B$2</c:f>
              <c:strCache>
                <c:ptCount val="1"/>
                <c:pt idx="0">
                  <c:v>Victim survivor of family violence</c:v>
                </c:pt>
              </c:strCache>
            </c:strRef>
          </c:cat>
          <c:val>
            <c:numRef>
              <c:f>FV!$B$4</c:f>
              <c:numCache>
                <c:formatCode>0%</c:formatCode>
                <c:ptCount val="1"/>
                <c:pt idx="0">
                  <c:v>0.12</c:v>
                </c:pt>
              </c:numCache>
            </c:numRef>
          </c:val>
          <c:extLst>
            <c:ext xmlns:c16="http://schemas.microsoft.com/office/drawing/2014/chart" uri="{C3380CC4-5D6E-409C-BE32-E72D297353CC}">
              <c16:uniqueId val="{00000001-B778-4E51-8259-969DE7D54E86}"/>
            </c:ext>
          </c:extLst>
        </c:ser>
        <c:dLbls>
          <c:showLegendKey val="0"/>
          <c:showVal val="0"/>
          <c:showCatName val="0"/>
          <c:showSerName val="0"/>
          <c:showPercent val="0"/>
          <c:showBubbleSize val="0"/>
        </c:dLbls>
        <c:gapWidth val="182"/>
        <c:axId val="1769364928"/>
        <c:axId val="1764461296"/>
      </c:barChart>
      <c:catAx>
        <c:axId val="1769364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461296"/>
        <c:crosses val="autoZero"/>
        <c:auto val="1"/>
        <c:lblAlgn val="ctr"/>
        <c:lblOffset val="100"/>
        <c:noMultiLvlLbl val="0"/>
      </c:catAx>
      <c:valAx>
        <c:axId val="17644612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936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Sheet1!$B$16</c:f>
              <c:strCache>
                <c:ptCount val="1"/>
                <c:pt idx="0">
                  <c:v>Clients with BNPL debts</c:v>
                </c:pt>
              </c:strCache>
            </c:strRef>
          </c:tx>
          <c:spPr>
            <a:solidFill>
              <a:srgbClr val="1598CB"/>
            </a:solidFill>
            <a:ln>
              <a:noFill/>
            </a:ln>
            <a:effectLst/>
          </c:spPr>
          <c:invertIfNegative val="0"/>
          <c:cat>
            <c:strRef>
              <c:f>Sheet1!$C$15:$D$15</c:f>
              <c:strCache>
                <c:ptCount val="2"/>
                <c:pt idx="0">
                  <c:v>Credit/debt issues/arrears</c:v>
                </c:pt>
                <c:pt idx="1">
                  <c:v>Bankruptcy</c:v>
                </c:pt>
              </c:strCache>
            </c:strRef>
          </c:cat>
          <c:val>
            <c:numRef>
              <c:f>Sheet1!$C$16:$D$16</c:f>
              <c:numCache>
                <c:formatCode>0%</c:formatCode>
                <c:ptCount val="2"/>
                <c:pt idx="0">
                  <c:v>0.8</c:v>
                </c:pt>
                <c:pt idx="1">
                  <c:v>0.15</c:v>
                </c:pt>
              </c:numCache>
            </c:numRef>
          </c:val>
          <c:extLst>
            <c:ext xmlns:c16="http://schemas.microsoft.com/office/drawing/2014/chart" uri="{C3380CC4-5D6E-409C-BE32-E72D297353CC}">
              <c16:uniqueId val="{00000000-81F9-4035-8B9B-CB25999EC7F1}"/>
            </c:ext>
          </c:extLst>
        </c:ser>
        <c:ser>
          <c:idx val="1"/>
          <c:order val="1"/>
          <c:tx>
            <c:strRef>
              <c:f>Sheet1!$B$17</c:f>
              <c:strCache>
                <c:ptCount val="1"/>
                <c:pt idx="0">
                  <c:v>Clients with no BNPL debts</c:v>
                </c:pt>
              </c:strCache>
            </c:strRef>
          </c:tx>
          <c:spPr>
            <a:solidFill>
              <a:srgbClr val="E7B52A"/>
            </a:solidFill>
            <a:ln>
              <a:noFill/>
            </a:ln>
            <a:effectLst/>
          </c:spPr>
          <c:invertIfNegative val="0"/>
          <c:cat>
            <c:strRef>
              <c:f>Sheet1!$C$15:$D$15</c:f>
              <c:strCache>
                <c:ptCount val="2"/>
                <c:pt idx="0">
                  <c:v>Credit/debt issues/arrears</c:v>
                </c:pt>
                <c:pt idx="1">
                  <c:v>Bankruptcy</c:v>
                </c:pt>
              </c:strCache>
            </c:strRef>
          </c:cat>
          <c:val>
            <c:numRef>
              <c:f>Sheet1!$C$17:$D$17</c:f>
              <c:numCache>
                <c:formatCode>0%</c:formatCode>
                <c:ptCount val="2"/>
                <c:pt idx="0">
                  <c:v>0.57999999999999996</c:v>
                </c:pt>
                <c:pt idx="1">
                  <c:v>0.04</c:v>
                </c:pt>
              </c:numCache>
            </c:numRef>
          </c:val>
          <c:extLst>
            <c:ext xmlns:c16="http://schemas.microsoft.com/office/drawing/2014/chart" uri="{C3380CC4-5D6E-409C-BE32-E72D297353CC}">
              <c16:uniqueId val="{00000001-81F9-4035-8B9B-CB25999EC7F1}"/>
            </c:ext>
          </c:extLst>
        </c:ser>
        <c:dLbls>
          <c:showLegendKey val="0"/>
          <c:showVal val="0"/>
          <c:showCatName val="0"/>
          <c:showSerName val="0"/>
          <c:showPercent val="0"/>
          <c:showBubbleSize val="0"/>
        </c:dLbls>
        <c:gapWidth val="182"/>
        <c:axId val="452129023"/>
        <c:axId val="259290159"/>
      </c:barChart>
      <c:catAx>
        <c:axId val="4521290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290159"/>
        <c:crosses val="autoZero"/>
        <c:auto val="1"/>
        <c:lblAlgn val="ctr"/>
        <c:lblOffset val="100"/>
        <c:noMultiLvlLbl val="0"/>
      </c:catAx>
      <c:valAx>
        <c:axId val="2592901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129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64</Pages>
  <Words>16379</Words>
  <Characters>93363</Characters>
  <Application>Microsoft Office Word</Application>
  <DocSecurity>8</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Alexandra King</cp:lastModifiedBy>
  <cp:revision>4</cp:revision>
  <cp:lastPrinted>2023-03-31T22:39:00Z</cp:lastPrinted>
  <dcterms:created xsi:type="dcterms:W3CDTF">2023-03-31T22:30:00Z</dcterms:created>
  <dcterms:modified xsi:type="dcterms:W3CDTF">2023-03-31T22:41:00Z</dcterms:modified>
</cp:coreProperties>
</file>