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E54B" w14:textId="77777777" w:rsidR="009F3010" w:rsidRPr="00DB1A8C" w:rsidRDefault="009F3010">
      <w:pPr>
        <w:pStyle w:val="Title"/>
        <w:ind w:left="0"/>
        <w:jc w:val="left"/>
        <w:rPr>
          <w:lang w:val="en-AU"/>
        </w:rPr>
      </w:pPr>
      <w:r w:rsidRPr="00DB1A8C">
        <w:rPr>
          <w:lang w:val="en-AU"/>
        </w:rPr>
        <w:t xml:space="preserve">Housing Connect Front Door Service </w:t>
      </w:r>
      <w:r>
        <w:rPr>
          <w:lang w:val="en-AU"/>
        </w:rPr>
        <w:t xml:space="preserve">Quarterly </w:t>
      </w:r>
      <w:r w:rsidRPr="00DB1A8C">
        <w:rPr>
          <w:lang w:val="en-AU"/>
        </w:rPr>
        <w:t>Snapshot</w:t>
      </w:r>
    </w:p>
    <w:p w14:paraId="36353B16" w14:textId="306DEF72" w:rsidR="009F3010" w:rsidRDefault="00843530">
      <w:pPr>
        <w:pStyle w:val="Title"/>
        <w:pBdr>
          <w:bottom w:val="single" w:sz="4" w:space="1" w:color="auto"/>
        </w:pBdr>
        <w:ind w:left="0"/>
        <w:jc w:val="left"/>
        <w:rPr>
          <w:b w:val="0"/>
          <w:bCs w:val="0"/>
          <w:lang w:val="en-AU"/>
        </w:rPr>
      </w:pPr>
      <w:r>
        <w:rPr>
          <w:b w:val="0"/>
          <w:bCs w:val="0"/>
          <w:lang w:val="en-AU"/>
        </w:rPr>
        <w:t>March 2026</w:t>
      </w:r>
    </w:p>
    <w:p w14:paraId="33288C11" w14:textId="460DD3AD" w:rsidR="009F3010" w:rsidRDefault="00216880">
      <w:pPr>
        <w:pStyle w:val="Heading1"/>
      </w:pPr>
      <w:r>
        <w:t>All Tasmanians, including y</w:t>
      </w:r>
      <w:r w:rsidR="002F5FE2">
        <w:t>oung people</w:t>
      </w:r>
      <w:r w:rsidR="00E25042">
        <w:t>,</w:t>
      </w:r>
      <w:r w:rsidR="002F5FE2">
        <w:t xml:space="preserve"> </w:t>
      </w:r>
      <w:r w:rsidR="00D7284B">
        <w:t>deserve stable and affordable housing</w:t>
      </w:r>
    </w:p>
    <w:p w14:paraId="1532B2F8" w14:textId="77777777" w:rsidR="00216880" w:rsidRDefault="00216880" w:rsidP="00216880">
      <w:pPr>
        <w:rPr>
          <w:b/>
          <w:bCs/>
          <w:lang w:val="en-AU"/>
        </w:rPr>
      </w:pPr>
      <w:r>
        <w:rPr>
          <w:bCs/>
          <w:lang w:val="en-AU"/>
        </w:rPr>
        <w:t xml:space="preserve">In the March quarter, 66% of all Housing Connect Front Door clients identified a need for </w:t>
      </w:r>
      <w:r w:rsidRPr="00D76FBE">
        <w:rPr>
          <w:bCs/>
          <w:lang w:val="en-AU"/>
        </w:rPr>
        <w:t>long-term housing</w:t>
      </w:r>
      <w:r>
        <w:rPr>
          <w:bCs/>
          <w:lang w:val="en-AU"/>
        </w:rPr>
        <w:t xml:space="preserve">, yet </w:t>
      </w:r>
      <w:r>
        <w:rPr>
          <w:lang w:val="en-AU"/>
        </w:rPr>
        <w:t xml:space="preserve">a shortage of available and affordable homes resulted in only 12% of client need for short-, medium- and long-term housing being met. This is down from 28% for the same period last year. </w:t>
      </w:r>
      <w:r w:rsidRPr="00811995">
        <w:rPr>
          <w:b/>
          <w:bCs/>
          <w:lang w:val="en-AU"/>
        </w:rPr>
        <w:t xml:space="preserve">This demonstrates the persistent ongoing lack of </w:t>
      </w:r>
      <w:r>
        <w:rPr>
          <w:b/>
          <w:bCs/>
          <w:lang w:val="en-AU"/>
        </w:rPr>
        <w:t xml:space="preserve">affordable </w:t>
      </w:r>
      <w:r w:rsidRPr="00811995">
        <w:rPr>
          <w:b/>
          <w:bCs/>
          <w:lang w:val="en-AU"/>
        </w:rPr>
        <w:t>housing</w:t>
      </w:r>
      <w:r>
        <w:rPr>
          <w:b/>
          <w:bCs/>
          <w:lang w:val="en-AU"/>
        </w:rPr>
        <w:t xml:space="preserve">, which impacts people on low incomes most significantly. </w:t>
      </w:r>
    </w:p>
    <w:p w14:paraId="65C9867F" w14:textId="5F29F1EC" w:rsidR="00E25042" w:rsidRPr="00E25042" w:rsidRDefault="00E25042" w:rsidP="00E25042">
      <w:pPr>
        <w:pStyle w:val="BodyText"/>
      </w:pPr>
      <w:r>
        <w:rPr>
          <w:bCs/>
        </w:rPr>
        <w:t xml:space="preserve">Anglicare Tasmania continues to call on governments to take direct action to increase affordable housing supply, including scaling up investment in social housing properties. </w:t>
      </w:r>
    </w:p>
    <w:p w14:paraId="72365806" w14:textId="55C07EF4" w:rsidR="00D7284B" w:rsidRPr="00A9505B" w:rsidRDefault="00D7284B" w:rsidP="00D7284B">
      <w:pPr>
        <w:rPr>
          <w:lang w:val="en-AU"/>
        </w:rPr>
      </w:pPr>
      <w:r>
        <w:rPr>
          <w:lang w:val="en-AU"/>
        </w:rPr>
        <w:t xml:space="preserve">The Housing Connect Front Door </w:t>
      </w:r>
      <w:r w:rsidR="00E70739">
        <w:rPr>
          <w:lang w:val="en-AU"/>
        </w:rPr>
        <w:t>provided support to</w:t>
      </w:r>
      <w:r>
        <w:rPr>
          <w:lang w:val="en-AU"/>
        </w:rPr>
        <w:t xml:space="preserve"> </w:t>
      </w:r>
      <w:r w:rsidR="00D76FBE" w:rsidRPr="002F5FE2">
        <w:rPr>
          <w:lang w:val="en-AU"/>
        </w:rPr>
        <w:t xml:space="preserve">90 </w:t>
      </w:r>
      <w:r w:rsidR="00E70739">
        <w:rPr>
          <w:lang w:val="en-AU"/>
        </w:rPr>
        <w:t xml:space="preserve">individual </w:t>
      </w:r>
      <w:r w:rsidRPr="002F5FE2">
        <w:rPr>
          <w:lang w:val="en-AU"/>
        </w:rPr>
        <w:t>16- and 17-year-olds</w:t>
      </w:r>
      <w:r w:rsidR="00D76FBE" w:rsidRPr="002F5FE2">
        <w:rPr>
          <w:lang w:val="en-AU"/>
        </w:rPr>
        <w:t xml:space="preserve"> </w:t>
      </w:r>
      <w:r>
        <w:rPr>
          <w:lang w:val="en-AU"/>
        </w:rPr>
        <w:t>between 1 January and 31 March 2026.</w:t>
      </w:r>
      <w:r w:rsidR="00A9505B">
        <w:rPr>
          <w:lang w:val="en-AU"/>
        </w:rPr>
        <w:t xml:space="preserve"> </w:t>
      </w:r>
      <w:r w:rsidR="00A9505B">
        <w:t>They</w:t>
      </w:r>
      <w:r w:rsidR="00216880">
        <w:t xml:space="preserve"> </w:t>
      </w:r>
      <w:r w:rsidR="00E25042">
        <w:t>presented for support without a parent or guardian</w:t>
      </w:r>
      <w:r w:rsidR="00216880">
        <w:t xml:space="preserve"> due to reasons such as</w:t>
      </w:r>
      <w:r w:rsidR="00A9505B">
        <w:t xml:space="preserve"> </w:t>
      </w:r>
      <w:r w:rsidRPr="006C3DF9">
        <w:t xml:space="preserve">no longer being able to live with parents due to conflict, </w:t>
      </w:r>
      <w:r>
        <w:t xml:space="preserve">relationship breakdown, </w:t>
      </w:r>
      <w:r w:rsidRPr="006C3DF9">
        <w:t xml:space="preserve">domestic and family violence, </w:t>
      </w:r>
      <w:r>
        <w:t xml:space="preserve">and </w:t>
      </w:r>
      <w:r w:rsidRPr="006C3DF9">
        <w:t xml:space="preserve">parental alcohol </w:t>
      </w:r>
      <w:r>
        <w:t>and/</w:t>
      </w:r>
      <w:r w:rsidRPr="006C3DF9">
        <w:t>or drug use</w:t>
      </w:r>
      <w:r>
        <w:t xml:space="preserve"> in the home</w:t>
      </w:r>
      <w:r w:rsidRPr="006C3DF9">
        <w:t xml:space="preserve">. Some were transitioning from </w:t>
      </w:r>
      <w:r>
        <w:t>out-of-home</w:t>
      </w:r>
      <w:r w:rsidRPr="006C3DF9">
        <w:t xml:space="preserve"> care. </w:t>
      </w:r>
    </w:p>
    <w:p w14:paraId="4A7CE2C5" w14:textId="028BA6EC" w:rsidR="00D76FBE" w:rsidRDefault="00D76FBE" w:rsidP="00D76FBE">
      <w:r>
        <w:t>The</w:t>
      </w:r>
      <w:r w:rsidR="00D7284B">
        <w:t xml:space="preserve">se young people </w:t>
      </w:r>
      <w:r>
        <w:t>were</w:t>
      </w:r>
      <w:r w:rsidRPr="006C3DF9" w:rsidDel="00A32F46">
        <w:t xml:space="preserve"> </w:t>
      </w:r>
      <w:r w:rsidRPr="006C3DF9">
        <w:t>couch</w:t>
      </w:r>
      <w:r>
        <w:t xml:space="preserve"> </w:t>
      </w:r>
      <w:r w:rsidRPr="006C3DF9">
        <w:t xml:space="preserve">surfing, living with other family members </w:t>
      </w:r>
      <w:r>
        <w:t>or friends or partners</w:t>
      </w:r>
      <w:r w:rsidRPr="006C3DF9">
        <w:t xml:space="preserve">, </w:t>
      </w:r>
      <w:r>
        <w:t xml:space="preserve">or </w:t>
      </w:r>
      <w:r w:rsidRPr="006C3DF9">
        <w:t>staying in dwellings such as unpowered caravans</w:t>
      </w:r>
      <w:r>
        <w:t>.</w:t>
      </w:r>
      <w:r w:rsidR="00D7284B">
        <w:t xml:space="preserve"> </w:t>
      </w:r>
      <w:r w:rsidR="00D7284B" w:rsidRPr="00A9505B">
        <w:rPr>
          <w:b/>
          <w:bCs/>
        </w:rPr>
        <w:t xml:space="preserve">60% had been homeless in the last month, and 62% had been homeless in the last 12 months. </w:t>
      </w:r>
    </w:p>
    <w:p w14:paraId="3ADB9C05" w14:textId="1BC75675" w:rsidR="00D7284B" w:rsidRDefault="00D7284B" w:rsidP="00D76FBE">
      <w:r>
        <w:t>Young people deserve secure, affordable housing and support to set themselves up for the future.</w:t>
      </w:r>
      <w:r w:rsidR="00E70739">
        <w:t xml:space="preserve"> A broader range of housing pathways for young people is needed.</w:t>
      </w:r>
    </w:p>
    <w:p w14:paraId="0989C3B6" w14:textId="0692AC67" w:rsidR="00D76FBE" w:rsidRDefault="00D76FBE" w:rsidP="00D76FBE">
      <w:pPr>
        <w:rPr>
          <w:bCs/>
          <w:lang w:val="en-AU"/>
        </w:rPr>
      </w:pPr>
    </w:p>
    <w:p w14:paraId="2C6729C9" w14:textId="77777777" w:rsidR="00A9505B" w:rsidRDefault="00A9505B">
      <w:pPr>
        <w:widowControl/>
        <w:autoSpaceDE/>
        <w:autoSpaceDN/>
        <w:spacing w:before="0" w:after="160" w:line="278" w:lineRule="auto"/>
        <w:rPr>
          <w:rFonts w:ascii="Avenir Next Demi Bold" w:eastAsia="AvenirNextLTPro-Demi" w:hAnsi="Avenir Next Demi Bold" w:cs="AvenirNextLTPro-Demi"/>
          <w:b/>
          <w:bCs/>
          <w:color w:val="1598CB"/>
          <w:sz w:val="48"/>
          <w:szCs w:val="48"/>
          <w:lang w:val="en-AU"/>
        </w:rPr>
      </w:pPr>
      <w:r>
        <w:br w:type="page"/>
      </w:r>
    </w:p>
    <w:p w14:paraId="23D027CB" w14:textId="73D4239D" w:rsidR="009F3010" w:rsidRPr="00D7284B" w:rsidRDefault="009F3010" w:rsidP="00D7284B">
      <w:pPr>
        <w:pStyle w:val="Heading1"/>
        <w:rPr>
          <w:rFonts w:eastAsia="Times New Roman" w:cs="Calibri"/>
          <w:szCs w:val="24"/>
        </w:rPr>
      </w:pPr>
      <w:r w:rsidRPr="00266393">
        <w:lastRenderedPageBreak/>
        <w:t>Housing Connect Front Door</w:t>
      </w:r>
    </w:p>
    <w:p w14:paraId="03935611" w14:textId="77777777" w:rsidR="009F3010" w:rsidRPr="00266393" w:rsidRDefault="009F3010">
      <w:pPr>
        <w:rPr>
          <w:lang w:val="en-AU"/>
        </w:rPr>
      </w:pPr>
      <w:r w:rsidRPr="00266393">
        <w:rPr>
          <w:lang w:val="en-AU"/>
        </w:rPr>
        <w:t xml:space="preserve">The Housing Connect Front Door is the entry point for people to access housing support, from emergency accommodation to a long-term home. This begins with an assessment to understand their individual circumstances and help match them with the most suitable options available. </w:t>
      </w:r>
    </w:p>
    <w:p w14:paraId="465969F2" w14:textId="77777777" w:rsidR="009F3010" w:rsidRPr="00266393" w:rsidRDefault="009F3010">
      <w:pPr>
        <w:rPr>
          <w:lang w:val="en-AU"/>
        </w:rPr>
      </w:pPr>
      <w:r w:rsidRPr="00266393">
        <w:rPr>
          <w:lang w:val="en-AU"/>
        </w:rPr>
        <w:t xml:space="preserve">Anglicare Tasmania is funded by government to deliver the Housing Connect Front Door Service statewide. This arrangement began from July 1, 2024. </w:t>
      </w:r>
    </w:p>
    <w:p w14:paraId="6F42435A" w14:textId="77777777" w:rsidR="009F3010" w:rsidRPr="00266393" w:rsidRDefault="009F3010">
      <w:pPr>
        <w:widowControl/>
        <w:adjustRightInd w:val="0"/>
        <w:spacing w:before="0" w:after="0"/>
        <w:rPr>
          <w:lang w:val="en-AU"/>
        </w:rPr>
      </w:pPr>
    </w:p>
    <w:p w14:paraId="5C1EB6C0" w14:textId="77777777" w:rsidR="009F3010" w:rsidRPr="00266393" w:rsidRDefault="009F3010">
      <w:pPr>
        <w:widowControl/>
        <w:adjustRightInd w:val="0"/>
        <w:spacing w:before="0" w:after="0"/>
        <w:rPr>
          <w:rFonts w:ascii="Arial" w:eastAsiaTheme="minorHAnsi" w:hAnsi="Arial" w:cs="Arial"/>
          <w:color w:val="000000"/>
          <w:sz w:val="22"/>
          <w:lang w:val="en-AU"/>
        </w:rPr>
      </w:pPr>
      <w:r w:rsidRPr="00266393">
        <w:rPr>
          <w:lang w:val="en-AU"/>
        </w:rPr>
        <w:t>People can access the Housing Connect Front Door by telephone, 24 hours a day, 365 days a year on</w:t>
      </w:r>
      <w:r w:rsidRPr="00266393">
        <w:rPr>
          <w:rFonts w:ascii="Arial" w:eastAsiaTheme="minorHAnsi" w:hAnsi="Arial" w:cs="Arial"/>
          <w:color w:val="000000"/>
          <w:sz w:val="22"/>
          <w:lang w:val="en-AU"/>
        </w:rPr>
        <w:t xml:space="preserve"> </w:t>
      </w:r>
      <w:r w:rsidRPr="00266393">
        <w:rPr>
          <w:rFonts w:ascii="Arial" w:eastAsiaTheme="minorHAnsi" w:hAnsi="Arial" w:cs="Arial"/>
          <w:b/>
          <w:bCs/>
          <w:color w:val="0070C0"/>
          <w:sz w:val="22"/>
          <w:lang w:val="en-AU"/>
        </w:rPr>
        <w:t>1800 800 588</w:t>
      </w:r>
      <w:r w:rsidRPr="00266393">
        <w:rPr>
          <w:rFonts w:ascii="Arial" w:eastAsiaTheme="minorHAnsi" w:hAnsi="Arial" w:cs="Arial"/>
          <w:b/>
          <w:bCs/>
          <w:color w:val="000000"/>
          <w:sz w:val="22"/>
          <w:lang w:val="en-AU"/>
        </w:rPr>
        <w:t xml:space="preserve">. </w:t>
      </w:r>
      <w:r w:rsidRPr="00266393">
        <w:rPr>
          <w:lang w:val="en-AU"/>
        </w:rPr>
        <w:t>This is a free call.</w:t>
      </w:r>
      <w:r w:rsidRPr="00266393">
        <w:rPr>
          <w:rFonts w:ascii="Arial" w:eastAsiaTheme="minorHAnsi" w:hAnsi="Arial" w:cs="Arial"/>
          <w:color w:val="000000"/>
          <w:sz w:val="22"/>
          <w:lang w:val="en-AU"/>
        </w:rPr>
        <w:t xml:space="preserve"> </w:t>
      </w:r>
    </w:p>
    <w:p w14:paraId="2155C2B0" w14:textId="77777777" w:rsidR="009F3010" w:rsidRPr="00266393" w:rsidRDefault="009F3010">
      <w:pPr>
        <w:rPr>
          <w:lang w:val="en-AU"/>
        </w:rPr>
      </w:pPr>
    </w:p>
    <w:p w14:paraId="721A92BB" w14:textId="77777777" w:rsidR="009F3010" w:rsidRPr="00266393" w:rsidRDefault="009F3010">
      <w:pPr>
        <w:widowControl/>
        <w:adjustRightInd w:val="0"/>
        <w:spacing w:before="0" w:after="0"/>
        <w:rPr>
          <w:lang w:val="en-AU"/>
        </w:rPr>
      </w:pPr>
      <w:r w:rsidRPr="00266393">
        <w:rPr>
          <w:lang w:val="en-AU"/>
        </w:rPr>
        <w:t xml:space="preserve">People can also access the Front Door at these Anglicare Tasmania offices between the hours of 9.00 am and 5.00 pm, Monday to Friday: </w:t>
      </w:r>
    </w:p>
    <w:p w14:paraId="007C0400" w14:textId="77777777" w:rsidR="009F3010" w:rsidRPr="00266393" w:rsidRDefault="009F3010">
      <w:pPr>
        <w:pStyle w:val="Bullets"/>
        <w:ind w:hanging="426"/>
      </w:pPr>
      <w:r w:rsidRPr="00266393">
        <w:t xml:space="preserve">159 Collins Street, Hobart </w:t>
      </w:r>
    </w:p>
    <w:p w14:paraId="30B2356A" w14:textId="77777777" w:rsidR="009F3010" w:rsidRPr="00266393" w:rsidRDefault="009F3010">
      <w:pPr>
        <w:pStyle w:val="Bullets"/>
        <w:ind w:hanging="426"/>
      </w:pPr>
      <w:r w:rsidRPr="00266393">
        <w:t xml:space="preserve">122 Elizabeth Street, Launceston </w:t>
      </w:r>
    </w:p>
    <w:p w14:paraId="3FB7ECF0" w14:textId="77777777" w:rsidR="009F3010" w:rsidRPr="00266393" w:rsidRDefault="009F3010">
      <w:pPr>
        <w:pStyle w:val="Bullets"/>
        <w:ind w:hanging="426"/>
      </w:pPr>
      <w:r w:rsidRPr="00266393">
        <w:t xml:space="preserve">31 King Street, Devonport </w:t>
      </w:r>
    </w:p>
    <w:p w14:paraId="0E0998D5" w14:textId="77777777" w:rsidR="009F3010" w:rsidRPr="00266393" w:rsidRDefault="009F3010">
      <w:pPr>
        <w:pStyle w:val="Bullets"/>
        <w:ind w:hanging="426"/>
      </w:pPr>
      <w:r w:rsidRPr="00266393">
        <w:t xml:space="preserve">51 Wilmot Street, Burnie. </w:t>
      </w:r>
    </w:p>
    <w:p w14:paraId="2138D2E3" w14:textId="77777777" w:rsidR="009F3010" w:rsidRPr="00A71948" w:rsidRDefault="009F3010">
      <w:pPr>
        <w:spacing w:after="360"/>
        <w:rPr>
          <w:lang w:val="en-AU"/>
        </w:rPr>
      </w:pPr>
      <w:r w:rsidRPr="00266393">
        <w:rPr>
          <w:lang w:val="en-AU"/>
        </w:rPr>
        <w:t xml:space="preserve">Wyndarra Centre Inc. provides a Front Door service at 43 Smith Street, Smithton. </w:t>
      </w:r>
      <w:r w:rsidRPr="00AD16B0">
        <w:t xml:space="preserve"> </w:t>
      </w:r>
    </w:p>
    <w:p w14:paraId="1BFF0816" w14:textId="77777777" w:rsidR="009F3010" w:rsidRPr="00266393" w:rsidRDefault="009F3010">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21E6019F" w14:textId="77777777" w:rsidR="009F3010" w:rsidRPr="00266393" w:rsidRDefault="009F3010">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r w:rsidRPr="00266393">
        <w:rPr>
          <w:rFonts w:ascii="Avenir Next LT Pro" w:eastAsiaTheme="minorHAnsi" w:hAnsi="Avenir Next LT Pro" w:cs="Arial"/>
          <w:b/>
          <w:color w:val="FFFFFF" w:themeColor="background1"/>
          <w:sz w:val="32"/>
          <w:szCs w:val="32"/>
          <w:lang w:val="en-AU"/>
        </w:rPr>
        <w:t>The Housing Connect Front Door does not provide housing</w:t>
      </w:r>
    </w:p>
    <w:p w14:paraId="0FD8EB22" w14:textId="77777777" w:rsidR="009F3010" w:rsidRPr="00266393" w:rsidRDefault="009F3010">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color w:val="FFFFFF" w:themeColor="background1"/>
          <w:sz w:val="32"/>
          <w:szCs w:val="32"/>
          <w:lang w:val="en-AU"/>
        </w:rPr>
      </w:pPr>
    </w:p>
    <w:p w14:paraId="0FC13DF0" w14:textId="77777777" w:rsidR="009F3010" w:rsidRPr="00266393" w:rsidRDefault="009F3010">
      <w:pPr>
        <w:widowControl/>
        <w:adjustRightInd w:val="0"/>
        <w:spacing w:before="0" w:after="0"/>
        <w:rPr>
          <w:rFonts w:ascii="Arial" w:eastAsiaTheme="minorHAnsi" w:hAnsi="Arial" w:cs="Arial"/>
          <w:color w:val="000000"/>
          <w:sz w:val="22"/>
          <w:lang w:val="en-AU"/>
        </w:rPr>
      </w:pPr>
    </w:p>
    <w:p w14:paraId="0371D7B7" w14:textId="77777777" w:rsidR="009F3010" w:rsidRDefault="009F3010">
      <w:pPr>
        <w:rPr>
          <w:lang w:val="en-AU"/>
        </w:rPr>
      </w:pPr>
      <w:r w:rsidRPr="00266393">
        <w:rPr>
          <w:lang w:val="en-AU"/>
        </w:rPr>
        <w:t>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416D2B72" w14:textId="77777777" w:rsidR="009F3010" w:rsidRPr="00266393" w:rsidRDefault="009F3010">
      <w:pPr>
        <w:rPr>
          <w:lang w:val="en-AU"/>
        </w:rPr>
      </w:pPr>
      <w:r w:rsidRPr="00266393">
        <w:rPr>
          <w:lang w:val="en-AU"/>
        </w:rPr>
        <w:t xml:space="preserve">For many people, the Front Door can provide the level of support they need. However, for those who require more intensive and ongoing support, the Front Door connects them with Key Development </w:t>
      </w:r>
      <w:r>
        <w:rPr>
          <w:lang w:val="en-AU"/>
        </w:rPr>
        <w:t>C</w:t>
      </w:r>
      <w:r w:rsidRPr="00266393">
        <w:rPr>
          <w:lang w:val="en-AU"/>
        </w:rPr>
        <w:t>oaches in their region.</w:t>
      </w:r>
    </w:p>
    <w:p w14:paraId="14289573" w14:textId="77777777" w:rsidR="009F3010" w:rsidRPr="00266393" w:rsidRDefault="009F3010">
      <w:pPr>
        <w:spacing w:before="0" w:after="0"/>
        <w:rPr>
          <w:rFonts w:ascii="Avenir Next Demi Bold" w:eastAsia="AvenirNextLTPro-Demi" w:hAnsi="Avenir Next Demi Bold" w:cs="AvenirNextLTPro-Demi"/>
          <w:b/>
          <w:bCs/>
          <w:i/>
          <w:color w:val="1598CB"/>
          <w:sz w:val="48"/>
          <w:szCs w:val="48"/>
          <w:lang w:val="en-AU"/>
        </w:rPr>
      </w:pPr>
      <w:r w:rsidRPr="00266393">
        <w:rPr>
          <w:i/>
          <w:lang w:val="en-AU"/>
        </w:rPr>
        <w:br w:type="page"/>
      </w:r>
    </w:p>
    <w:p w14:paraId="73FA18DE" w14:textId="77777777" w:rsidR="009F3010" w:rsidRDefault="009F3010">
      <w:pPr>
        <w:pStyle w:val="Heading1"/>
      </w:pPr>
      <w:r>
        <w:lastRenderedPageBreak/>
        <w:t>Support provided this quarter</w:t>
      </w:r>
    </w:p>
    <w:p w14:paraId="5C98F069" w14:textId="52CE86D8" w:rsidR="009F3010" w:rsidRPr="00022DD3" w:rsidRDefault="009F3010">
      <w:pPr>
        <w:pStyle w:val="BodyText"/>
      </w:pPr>
      <w:r>
        <w:t>From</w:t>
      </w:r>
      <w:r w:rsidRPr="00022DD3">
        <w:t xml:space="preserve"> </w:t>
      </w:r>
      <w:r w:rsidR="00843530">
        <w:t xml:space="preserve">1 January to 31 March 2026 </w:t>
      </w:r>
      <w:r>
        <w:t>(compared to the same period in 202</w:t>
      </w:r>
      <w:r w:rsidR="00843530">
        <w:t>5</w:t>
      </w:r>
      <w:r>
        <w:t>)</w:t>
      </w:r>
      <w:r w:rsidRPr="00022DD3">
        <w:t>, the Front Door service has:</w:t>
      </w:r>
    </w:p>
    <w:p w14:paraId="724BDE68" w14:textId="579959F9" w:rsidR="009F3010" w:rsidRPr="0000085C" w:rsidRDefault="009F3010" w:rsidP="00E710B4">
      <w:pPr>
        <w:pStyle w:val="Bullets"/>
        <w:ind w:left="425" w:right="-45" w:hanging="357"/>
      </w:pPr>
      <w:r w:rsidRPr="0000085C">
        <w:t>responded to</w:t>
      </w:r>
      <w:r w:rsidR="00017F2F">
        <w:t xml:space="preserve"> </w:t>
      </w:r>
      <w:r w:rsidR="00017F2F">
        <w:rPr>
          <w:b/>
          <w:bCs/>
        </w:rPr>
        <w:t>13,607</w:t>
      </w:r>
      <w:r w:rsidR="00843530">
        <w:rPr>
          <w:b/>
          <w:bCs/>
        </w:rPr>
        <w:t xml:space="preserve"> </w:t>
      </w:r>
      <w:r w:rsidRPr="0000085C">
        <w:t>enquiries from Tasmanians seeking housing support (</w:t>
      </w:r>
      <w:r>
        <w:t xml:space="preserve">up </w:t>
      </w:r>
      <w:r w:rsidR="00017F2F">
        <w:t>3</w:t>
      </w:r>
      <w:r w:rsidRPr="0000085C">
        <w:t>%)</w:t>
      </w:r>
    </w:p>
    <w:p w14:paraId="152CE418" w14:textId="09D7DF6B" w:rsidR="009F3010" w:rsidRPr="0000085C" w:rsidRDefault="009F3010" w:rsidP="00E710B4">
      <w:pPr>
        <w:pStyle w:val="Bullets"/>
        <w:ind w:left="425" w:right="-45" w:hanging="357"/>
      </w:pPr>
      <w:r w:rsidRPr="0000085C">
        <w:t xml:space="preserve">provided </w:t>
      </w:r>
      <w:r w:rsidR="00017F2F">
        <w:rPr>
          <w:b/>
          <w:bCs/>
        </w:rPr>
        <w:t>2</w:t>
      </w:r>
      <w:r w:rsidR="003B10DB">
        <w:rPr>
          <w:b/>
          <w:bCs/>
        </w:rPr>
        <w:t>,</w:t>
      </w:r>
      <w:r w:rsidR="00017F2F">
        <w:rPr>
          <w:b/>
          <w:bCs/>
        </w:rPr>
        <w:t>173</w:t>
      </w:r>
      <w:r w:rsidRPr="0000085C">
        <w:t xml:space="preserve"> periods of support to </w:t>
      </w:r>
      <w:r w:rsidR="00017F2F">
        <w:rPr>
          <w:b/>
          <w:bCs/>
        </w:rPr>
        <w:t>1</w:t>
      </w:r>
      <w:r w:rsidR="003B10DB">
        <w:rPr>
          <w:b/>
          <w:bCs/>
        </w:rPr>
        <w:t>,</w:t>
      </w:r>
      <w:r w:rsidR="00017F2F">
        <w:rPr>
          <w:b/>
          <w:bCs/>
        </w:rPr>
        <w:t>961</w:t>
      </w:r>
      <w:r w:rsidRPr="0000085C">
        <w:t xml:space="preserve"> people or families (</w:t>
      </w:r>
      <w:r w:rsidR="00AF1006">
        <w:t xml:space="preserve">number of </w:t>
      </w:r>
      <w:r>
        <w:t xml:space="preserve">people </w:t>
      </w:r>
      <w:r w:rsidR="00AF1006">
        <w:t>supported</w:t>
      </w:r>
      <w:r w:rsidR="00AF1006" w:rsidRPr="0000085C">
        <w:t xml:space="preserve"> </w:t>
      </w:r>
      <w:r>
        <w:t xml:space="preserve">up </w:t>
      </w:r>
      <w:r w:rsidR="00017F2F">
        <w:t>44</w:t>
      </w:r>
      <w:r w:rsidRPr="0000085C">
        <w:t>%)</w:t>
      </w:r>
    </w:p>
    <w:p w14:paraId="20F3DA35" w14:textId="3A3C68F9" w:rsidR="009F3010" w:rsidRPr="004C416F" w:rsidRDefault="009F3010" w:rsidP="00E710B4">
      <w:pPr>
        <w:pStyle w:val="Bullets"/>
        <w:ind w:left="425" w:right="-45" w:hanging="357"/>
        <w:rPr>
          <w:rFonts w:eastAsia="AvenirNextLTPro-Demi"/>
        </w:rPr>
      </w:pPr>
      <w:r>
        <w:t xml:space="preserve">responded to </w:t>
      </w:r>
      <w:r w:rsidR="009404E0">
        <w:rPr>
          <w:b/>
          <w:bCs/>
        </w:rPr>
        <w:t>352</w:t>
      </w:r>
      <w:r>
        <w:rPr>
          <w:b/>
          <w:bCs/>
        </w:rPr>
        <w:t xml:space="preserve"> </w:t>
      </w:r>
      <w:r w:rsidRPr="001E6DC7">
        <w:t>n</w:t>
      </w:r>
      <w:r>
        <w:t xml:space="preserve">ew applications for private rental assistance </w:t>
      </w:r>
    </w:p>
    <w:p w14:paraId="4606DB3A" w14:textId="1BB8BA85" w:rsidR="009F3010" w:rsidRDefault="009F3010" w:rsidP="00E710B4">
      <w:pPr>
        <w:pStyle w:val="Bullets"/>
        <w:ind w:left="425" w:right="-45" w:hanging="357"/>
      </w:pPr>
      <w:r>
        <w:t xml:space="preserve">met </w:t>
      </w:r>
      <w:r w:rsidR="009404E0">
        <w:rPr>
          <w:b/>
          <w:bCs/>
        </w:rPr>
        <w:t>87</w:t>
      </w:r>
      <w:r w:rsidRPr="001B5146">
        <w:rPr>
          <w:b/>
          <w:bCs/>
        </w:rPr>
        <w:t>%</w:t>
      </w:r>
      <w:r>
        <w:t xml:space="preserve"> of client needs for support services other than housing </w:t>
      </w:r>
    </w:p>
    <w:p w14:paraId="10150DD9" w14:textId="6783AC50" w:rsidR="009F3010" w:rsidRDefault="009F3010" w:rsidP="00E710B4">
      <w:pPr>
        <w:pStyle w:val="Bullets"/>
        <w:ind w:left="425" w:right="-45" w:hanging="357"/>
      </w:pPr>
      <w:r>
        <w:t xml:space="preserve">met </w:t>
      </w:r>
      <w:r w:rsidR="009404E0">
        <w:rPr>
          <w:b/>
          <w:bCs/>
        </w:rPr>
        <w:t>12</w:t>
      </w:r>
      <w:r w:rsidRPr="001B5146">
        <w:rPr>
          <w:b/>
          <w:bCs/>
        </w:rPr>
        <w:t>%</w:t>
      </w:r>
      <w:r>
        <w:t xml:space="preserve"> of client needs for housing </w:t>
      </w:r>
    </w:p>
    <w:p w14:paraId="12C10624" w14:textId="3FA9FE20" w:rsidR="009F3010" w:rsidRPr="00A71948" w:rsidRDefault="009F3010" w:rsidP="00E710B4">
      <w:pPr>
        <w:pStyle w:val="Bullets"/>
        <w:ind w:left="425" w:right="-45" w:hanging="357"/>
      </w:pPr>
      <w:r>
        <w:t xml:space="preserve">received an average rating of </w:t>
      </w:r>
      <w:r w:rsidR="009404E0" w:rsidRPr="009404E0">
        <w:rPr>
          <w:b/>
          <w:bCs/>
        </w:rPr>
        <w:t>4.8</w:t>
      </w:r>
      <w:r>
        <w:t>/5.0 for client satisfaction with support and services</w:t>
      </w:r>
      <w:r w:rsidR="00E710B4">
        <w:t>.</w:t>
      </w:r>
    </w:p>
    <w:p w14:paraId="1215516C" w14:textId="77777777" w:rsidR="009F3010" w:rsidRPr="00A8755B" w:rsidRDefault="009F3010">
      <w:pPr>
        <w:pStyle w:val="BodyText"/>
      </w:pPr>
    </w:p>
    <w:p w14:paraId="67607D28" w14:textId="4AC755B1" w:rsidR="009F3010" w:rsidRDefault="009F3010">
      <w:pPr>
        <w:pStyle w:val="Heading1"/>
      </w:pPr>
      <w:bookmarkStart w:id="0" w:name="_Hlk178520408"/>
      <w:r w:rsidRPr="00AD16B0">
        <w:t xml:space="preserve">People </w:t>
      </w:r>
      <w:r>
        <w:t xml:space="preserve">accessing housing </w:t>
      </w:r>
      <w:r w:rsidRPr="00B82F87">
        <w:t>support</w:t>
      </w:r>
    </w:p>
    <w:p w14:paraId="7BAE573F" w14:textId="29356E63" w:rsidR="009F3010" w:rsidRDefault="009F3010">
      <w:pPr>
        <w:pStyle w:val="BodyText"/>
      </w:pPr>
      <w:r w:rsidRPr="00A7142F">
        <w:t xml:space="preserve">Housing Connect </w:t>
      </w:r>
      <w:r w:rsidR="00E710B4">
        <w:t xml:space="preserve">Front Door </w:t>
      </w:r>
      <w:r w:rsidRPr="00A7142F">
        <w:t>provides support to people who are homeless or at risk of being homeless, or who cannot stay where they normally live, including for safety reasons. Support may also be available to people having trouble paying for housing or moving costs.</w:t>
      </w:r>
    </w:p>
    <w:p w14:paraId="6B13B623" w14:textId="20EC2274" w:rsidR="008C4352" w:rsidRPr="00A7142F" w:rsidRDefault="008C4352">
      <w:pPr>
        <w:pStyle w:val="BodyText"/>
      </w:pPr>
      <w:r>
        <w:rPr>
          <w:lang w:val="en-GB"/>
        </w:rPr>
        <w:t>A</w:t>
      </w:r>
      <w:r w:rsidRPr="008C4352">
        <w:rPr>
          <w:lang w:val="en-GB"/>
        </w:rPr>
        <w:t xml:space="preserve"> support period is the period of time a client receives assistance from Housing Connect</w:t>
      </w:r>
      <w:r w:rsidR="00E710B4">
        <w:rPr>
          <w:lang w:val="en-GB"/>
        </w:rPr>
        <w:t xml:space="preserve"> Front Door</w:t>
      </w:r>
      <w:r w:rsidRPr="008C4352">
        <w:rPr>
          <w:lang w:val="en-GB"/>
        </w:rPr>
        <w:t>.</w:t>
      </w:r>
      <w:r>
        <w:rPr>
          <w:rStyle w:val="FootnoteReference"/>
          <w:lang w:val="en-GB"/>
        </w:rPr>
        <w:footnoteReference w:id="1"/>
      </w:r>
      <w:r>
        <w:rPr>
          <w:lang w:val="en-GB"/>
        </w:rPr>
        <w:t xml:space="preserve"> </w:t>
      </w:r>
      <w:r w:rsidRPr="008C4352">
        <w:rPr>
          <w:lang w:val="en-GB"/>
        </w:rPr>
        <w:t>A support period commences on the day a person becomes a client by receiving a direct service</w:t>
      </w:r>
      <w:r>
        <w:rPr>
          <w:lang w:val="en-GB"/>
        </w:rPr>
        <w:t xml:space="preserve"> such as support </w:t>
      </w:r>
      <w:r w:rsidR="00E710B4">
        <w:rPr>
          <w:lang w:val="en-GB"/>
        </w:rPr>
        <w:t xml:space="preserve">or a referral </w:t>
      </w:r>
      <w:r>
        <w:rPr>
          <w:lang w:val="en-GB"/>
        </w:rPr>
        <w:t>from a Housing Connect Connection Coach</w:t>
      </w:r>
      <w:r w:rsidRPr="008C4352">
        <w:rPr>
          <w:lang w:val="en-GB"/>
        </w:rPr>
        <w:t xml:space="preserve"> </w:t>
      </w:r>
      <w:r>
        <w:rPr>
          <w:lang w:val="en-GB"/>
        </w:rPr>
        <w:t xml:space="preserve">and </w:t>
      </w:r>
      <w:r w:rsidRPr="008C4352">
        <w:rPr>
          <w:lang w:val="en-GB"/>
        </w:rPr>
        <w:t>it ends on the last day on which services are provided.</w:t>
      </w:r>
      <w:r>
        <w:rPr>
          <w:rStyle w:val="FootnoteReference"/>
          <w:lang w:val="en-GB"/>
        </w:rPr>
        <w:footnoteReference w:id="2"/>
      </w:r>
    </w:p>
    <w:p w14:paraId="6A56056B" w14:textId="102229C4" w:rsidR="009F3010" w:rsidRDefault="009F3010">
      <w:pPr>
        <w:pStyle w:val="BodyText"/>
      </w:pPr>
      <w:r w:rsidRPr="004C7060">
        <w:t>Compared to the same period in 202</w:t>
      </w:r>
      <w:r w:rsidR="00B35C69">
        <w:t>5</w:t>
      </w:r>
      <w:r w:rsidRPr="004C7060">
        <w:t xml:space="preserve">, the total number of people and families receiving housing support has risen by </w:t>
      </w:r>
      <w:r w:rsidR="009404E0">
        <w:t>44</w:t>
      </w:r>
      <w:r w:rsidR="00B35C69">
        <w:t>%</w:t>
      </w:r>
      <w:r w:rsidRPr="004C7060">
        <w:t>.</w:t>
      </w:r>
      <w:r w:rsidR="000C1494">
        <w:rPr>
          <w:rStyle w:val="FootnoteReference"/>
        </w:rPr>
        <w:footnoteReference w:id="3"/>
      </w:r>
    </w:p>
    <w:p w14:paraId="229E1A4F" w14:textId="6B5BE050" w:rsidR="00ED1FD0" w:rsidRPr="004C7060" w:rsidRDefault="00ED1FD0">
      <w:pPr>
        <w:pStyle w:val="BodyText"/>
      </w:pPr>
      <w:r>
        <w:t>The number of clients sleeping rough or in cars, tents or improvised dwellings has increased by 45%, from 191 to 277.</w:t>
      </w:r>
      <w:r>
        <w:rPr>
          <w:rStyle w:val="FootnoteReference"/>
        </w:rPr>
        <w:footnoteReference w:id="4"/>
      </w:r>
      <w:r>
        <w:t xml:space="preserve"> </w:t>
      </w:r>
    </w:p>
    <w:p w14:paraId="011ACBB1" w14:textId="5C9E0889" w:rsidR="009F3010" w:rsidRPr="004C7060" w:rsidRDefault="009F3010">
      <w:pPr>
        <w:pStyle w:val="BodyText"/>
      </w:pPr>
      <w:r w:rsidRPr="004C7060">
        <w:t xml:space="preserve">Over the same period, the number of employed people who have accessed housing support has </w:t>
      </w:r>
      <w:r w:rsidR="009404E0" w:rsidRPr="009404E0">
        <w:t xml:space="preserve">increased </w:t>
      </w:r>
      <w:r w:rsidR="00B35C69" w:rsidRPr="009404E0">
        <w:t xml:space="preserve">by </w:t>
      </w:r>
      <w:r w:rsidR="009404E0" w:rsidRPr="009404E0">
        <w:t>43</w:t>
      </w:r>
      <w:r w:rsidR="00B35C69" w:rsidRPr="009404E0">
        <w:t xml:space="preserve">% from </w:t>
      </w:r>
      <w:r w:rsidR="009404E0" w:rsidRPr="009404E0">
        <w:t>205</w:t>
      </w:r>
      <w:r w:rsidR="00B35C69" w:rsidRPr="009404E0">
        <w:t xml:space="preserve"> to </w:t>
      </w:r>
      <w:r w:rsidR="009404E0" w:rsidRPr="009404E0">
        <w:t>294</w:t>
      </w:r>
      <w:r w:rsidRPr="004C7060">
        <w:t>. Private rentals are unaffordable for a</w:t>
      </w:r>
      <w:r w:rsidR="00060C99">
        <w:t>n ever-</w:t>
      </w:r>
      <w:r w:rsidRPr="004C7060">
        <w:t>growing share of the community, which is resulting in more employed Tasmanians needing housing support.</w:t>
      </w:r>
    </w:p>
    <w:p w14:paraId="54BF88AB" w14:textId="28D5341B" w:rsidR="0012734F" w:rsidRDefault="009F3010">
      <w:pPr>
        <w:pStyle w:val="BodyText"/>
      </w:pPr>
      <w:r w:rsidRPr="00FE7C81">
        <w:t>The number of families with children accessing housing support</w:t>
      </w:r>
      <w:r w:rsidR="009404E0" w:rsidRPr="00FE7C81">
        <w:t xml:space="preserve"> increased by </w:t>
      </w:r>
      <w:r w:rsidR="00FE7C81" w:rsidRPr="00FE7C81">
        <w:t>36</w:t>
      </w:r>
      <w:r w:rsidR="009404E0" w:rsidRPr="00FE7C81">
        <w:t xml:space="preserve">% from the same period in 2025, from </w:t>
      </w:r>
      <w:r w:rsidR="00FE7C81" w:rsidRPr="00FE7C81">
        <w:t>440</w:t>
      </w:r>
      <w:r w:rsidR="009404E0" w:rsidRPr="00FE7C81">
        <w:t xml:space="preserve"> to </w:t>
      </w:r>
      <w:r w:rsidR="00FE7C81" w:rsidRPr="00FE7C81">
        <w:t>597</w:t>
      </w:r>
      <w:r w:rsidR="009404E0" w:rsidRPr="00FE7C81">
        <w:t>.</w:t>
      </w:r>
      <w:r w:rsidRPr="004C7060">
        <w:t xml:space="preserve"> </w:t>
      </w:r>
    </w:p>
    <w:p w14:paraId="46BD7C05" w14:textId="77777777" w:rsidR="00E710B4" w:rsidRDefault="00E710B4">
      <w:pPr>
        <w:widowControl/>
        <w:autoSpaceDE/>
        <w:autoSpaceDN/>
        <w:spacing w:before="0" w:after="160" w:line="278" w:lineRule="auto"/>
        <w:rPr>
          <w:rFonts w:eastAsia="Times New Roman" w:cs="Calibri"/>
          <w:szCs w:val="24"/>
          <w:lang w:val="en-AU"/>
        </w:rPr>
      </w:pPr>
      <w:r>
        <w:br w:type="page"/>
      </w:r>
    </w:p>
    <w:p w14:paraId="7E7F3AA7" w14:textId="7E4F6408" w:rsidR="009F3010" w:rsidRDefault="009F3010">
      <w:pPr>
        <w:pStyle w:val="BodyText"/>
      </w:pPr>
      <w:r>
        <w:lastRenderedPageBreak/>
        <w:t>From 1</w:t>
      </w:r>
      <w:r w:rsidR="00B35C69">
        <w:t xml:space="preserve"> January</w:t>
      </w:r>
      <w:r>
        <w:t xml:space="preserve"> to 31 </w:t>
      </w:r>
      <w:r w:rsidR="00307671">
        <w:t>March 2026</w:t>
      </w:r>
      <w:r>
        <w:t>, housing support was provided to:</w:t>
      </w:r>
    </w:p>
    <w:p w14:paraId="71FA0250" w14:textId="05837228" w:rsidR="009F3010" w:rsidRDefault="009404E0">
      <w:pPr>
        <w:pStyle w:val="Bullets"/>
      </w:pPr>
      <w:r w:rsidRPr="009404E0">
        <w:rPr>
          <w:b/>
          <w:bCs/>
        </w:rPr>
        <w:t>1</w:t>
      </w:r>
      <w:r w:rsidR="002E321F">
        <w:rPr>
          <w:b/>
          <w:bCs/>
        </w:rPr>
        <w:t>,</w:t>
      </w:r>
      <w:r w:rsidRPr="009404E0">
        <w:rPr>
          <w:b/>
          <w:bCs/>
        </w:rPr>
        <w:t xml:space="preserve">172 </w:t>
      </w:r>
      <w:r>
        <w:t>w</w:t>
      </w:r>
      <w:r w:rsidR="009F3010">
        <w:t>omen</w:t>
      </w:r>
    </w:p>
    <w:p w14:paraId="1F37BBC3" w14:textId="3EEC341A" w:rsidR="009F3010" w:rsidRDefault="009404E0">
      <w:pPr>
        <w:pStyle w:val="Bullets"/>
      </w:pPr>
      <w:r w:rsidRPr="009404E0">
        <w:rPr>
          <w:b/>
          <w:bCs/>
        </w:rPr>
        <w:t>779</w:t>
      </w:r>
      <w:r w:rsidR="009F3010">
        <w:t xml:space="preserve"> men</w:t>
      </w:r>
    </w:p>
    <w:p w14:paraId="382AF5B1" w14:textId="31B12A5C" w:rsidR="009F3010" w:rsidRDefault="009404E0">
      <w:pPr>
        <w:pStyle w:val="Bullets"/>
      </w:pPr>
      <w:r>
        <w:rPr>
          <w:b/>
          <w:bCs/>
        </w:rPr>
        <w:t>459</w:t>
      </w:r>
      <w:r w:rsidR="00B35C69">
        <w:rPr>
          <w:b/>
          <w:bCs/>
        </w:rPr>
        <w:t xml:space="preserve"> </w:t>
      </w:r>
      <w:r w:rsidR="009F3010">
        <w:t>lone parents with children</w:t>
      </w:r>
    </w:p>
    <w:p w14:paraId="63205693" w14:textId="22C00902" w:rsidR="009F3010" w:rsidRDefault="009404E0">
      <w:pPr>
        <w:pStyle w:val="Bullets"/>
      </w:pPr>
      <w:r>
        <w:rPr>
          <w:b/>
          <w:bCs/>
        </w:rPr>
        <w:t>138</w:t>
      </w:r>
      <w:r w:rsidR="009F3010">
        <w:t xml:space="preserve"> couples with children</w:t>
      </w:r>
    </w:p>
    <w:p w14:paraId="6AA625FC" w14:textId="047C4D1E" w:rsidR="009F3010" w:rsidRDefault="009404E0">
      <w:pPr>
        <w:pStyle w:val="Bullets"/>
      </w:pPr>
      <w:r>
        <w:rPr>
          <w:b/>
          <w:bCs/>
        </w:rPr>
        <w:t>1</w:t>
      </w:r>
      <w:r w:rsidR="006C69A4">
        <w:rPr>
          <w:b/>
          <w:bCs/>
        </w:rPr>
        <w:t>,</w:t>
      </w:r>
      <w:r>
        <w:rPr>
          <w:b/>
          <w:bCs/>
        </w:rPr>
        <w:t>846</w:t>
      </w:r>
      <w:r w:rsidR="009F3010">
        <w:t xml:space="preserve"> children under 18 years of age in families</w:t>
      </w:r>
    </w:p>
    <w:p w14:paraId="015714B8" w14:textId="524E57B4" w:rsidR="009F3010" w:rsidRDefault="009404E0">
      <w:pPr>
        <w:pStyle w:val="Bullets"/>
      </w:pPr>
      <w:r>
        <w:rPr>
          <w:b/>
          <w:bCs/>
        </w:rPr>
        <w:t>455</w:t>
      </w:r>
      <w:r w:rsidR="009F3010">
        <w:t xml:space="preserve"> people aged 16-24 years</w:t>
      </w:r>
    </w:p>
    <w:p w14:paraId="04C27A11" w14:textId="01C47AD5" w:rsidR="009F3010" w:rsidRDefault="009404E0">
      <w:pPr>
        <w:pStyle w:val="Bullets"/>
      </w:pPr>
      <w:r>
        <w:rPr>
          <w:b/>
          <w:bCs/>
        </w:rPr>
        <w:t>294</w:t>
      </w:r>
      <w:r w:rsidR="009F3010">
        <w:t xml:space="preserve"> people in employment</w:t>
      </w:r>
    </w:p>
    <w:p w14:paraId="33D19086" w14:textId="1DF26E32" w:rsidR="009F3010" w:rsidRPr="00570C92" w:rsidRDefault="009404E0">
      <w:pPr>
        <w:pStyle w:val="Bullets"/>
      </w:pPr>
      <w:r w:rsidRPr="009404E0">
        <w:rPr>
          <w:b/>
          <w:bCs/>
        </w:rPr>
        <w:t>220</w:t>
      </w:r>
      <w:r>
        <w:t xml:space="preserve"> [of those]</w:t>
      </w:r>
      <w:r w:rsidR="009F3010">
        <w:t xml:space="preserve"> people in part-time employment</w:t>
      </w:r>
      <w:r w:rsidR="00E710B4">
        <w:t>.</w:t>
      </w:r>
    </w:p>
    <w:p w14:paraId="39917CBB" w14:textId="77777777" w:rsidR="00A9505B" w:rsidRDefault="00A9505B" w:rsidP="00A9505B">
      <w:pPr>
        <w:pStyle w:val="Bullets"/>
        <w:numPr>
          <w:ilvl w:val="0"/>
          <w:numId w:val="0"/>
        </w:numPr>
        <w:ind w:left="426" w:hanging="360"/>
      </w:pPr>
    </w:p>
    <w:p w14:paraId="13648F0E" w14:textId="275E92FD" w:rsidR="00A9505B" w:rsidRDefault="0012734F" w:rsidP="00A9505B">
      <w:pPr>
        <w:pStyle w:val="Bullets"/>
        <w:numPr>
          <w:ilvl w:val="0"/>
          <w:numId w:val="0"/>
        </w:numPr>
        <w:ind w:left="426" w:hanging="360"/>
      </w:pPr>
      <w:r w:rsidRPr="0012734F">
        <w:t>And</w:t>
      </w:r>
      <w:r>
        <w:rPr>
          <w:b/>
          <w:bCs/>
        </w:rPr>
        <w:t xml:space="preserve"> </w:t>
      </w:r>
      <w:r w:rsidR="00A9505B">
        <w:rPr>
          <w:b/>
          <w:bCs/>
        </w:rPr>
        <w:t xml:space="preserve">94 </w:t>
      </w:r>
      <w:r w:rsidR="00A9505B" w:rsidRPr="00A9505B">
        <w:t xml:space="preserve">periods of support </w:t>
      </w:r>
      <w:r w:rsidR="00BC5ADD">
        <w:t xml:space="preserve">were provided </w:t>
      </w:r>
      <w:r w:rsidR="00A9505B" w:rsidRPr="00A9505B">
        <w:t>to</w:t>
      </w:r>
      <w:r w:rsidR="00A9505B">
        <w:rPr>
          <w:b/>
          <w:bCs/>
        </w:rPr>
        <w:t xml:space="preserve"> </w:t>
      </w:r>
      <w:r w:rsidR="00A9505B">
        <w:t>children under 18 who presented alone.</w:t>
      </w:r>
      <w:r w:rsidR="00A9505B">
        <w:rPr>
          <w:rStyle w:val="FootnoteReference"/>
        </w:rPr>
        <w:footnoteReference w:id="5"/>
      </w:r>
    </w:p>
    <w:p w14:paraId="2DC38AE1" w14:textId="77777777" w:rsidR="009F3010" w:rsidRDefault="009F3010" w:rsidP="00CE4F12">
      <w:pPr>
        <w:pStyle w:val="Heading2"/>
      </w:pPr>
      <w:r>
        <w:t>Reasons for seeking support</w:t>
      </w:r>
    </w:p>
    <w:p w14:paraId="57471E3F" w14:textId="77777777" w:rsidR="003547AD" w:rsidRDefault="00682D31">
      <w:pPr>
        <w:pStyle w:val="Bullets"/>
      </w:pPr>
      <w:r>
        <w:t>Housing</w:t>
      </w:r>
      <w:r w:rsidR="009F3010" w:rsidRPr="00652B88">
        <w:t xml:space="preserve"> crisis (</w:t>
      </w:r>
      <w:r w:rsidR="00652B88" w:rsidRPr="00652B88">
        <w:t>31</w:t>
      </w:r>
      <w:r w:rsidR="009F3010" w:rsidRPr="00652B88">
        <w:t>%), inadequate or inappropriate dwelling conditions (</w:t>
      </w:r>
      <w:r w:rsidR="00652B88" w:rsidRPr="00652B88">
        <w:t>20</w:t>
      </w:r>
      <w:r w:rsidR="009F3010" w:rsidRPr="00652B88">
        <w:t>%), housing affordability stress (</w:t>
      </w:r>
      <w:r w:rsidR="00652B88" w:rsidRPr="00652B88">
        <w:t>10</w:t>
      </w:r>
      <w:r w:rsidR="009F3010" w:rsidRPr="00652B88">
        <w:t>%) and domestic and/or family violence (</w:t>
      </w:r>
      <w:r w:rsidR="00652B88" w:rsidRPr="00652B88">
        <w:t>8</w:t>
      </w:r>
      <w:r w:rsidR="009F3010" w:rsidRPr="00652B88">
        <w:t>%) were most commonly given as the main reason for seeking support.</w:t>
      </w:r>
    </w:p>
    <w:p w14:paraId="15C647EA" w14:textId="6CF73DDB" w:rsidR="003547AD" w:rsidRPr="003547AD" w:rsidRDefault="003547AD">
      <w:pPr>
        <w:pStyle w:val="Bullets"/>
      </w:pPr>
      <w:r w:rsidRPr="003547AD">
        <w:t>Other common reasons for seeking support included financial difficulties, lack of family and/or community support, and mental health issues</w:t>
      </w:r>
      <w:r>
        <w:t xml:space="preserve">, though these were not necessarily listed as the main reason. </w:t>
      </w:r>
    </w:p>
    <w:p w14:paraId="69201F33" w14:textId="6F5E7548" w:rsidR="009F3010" w:rsidRPr="006D3A7C" w:rsidRDefault="009F3010" w:rsidP="00CE4F12">
      <w:pPr>
        <w:pStyle w:val="Heading2"/>
      </w:pPr>
      <w:r>
        <w:t>Housing circumstances</w:t>
      </w:r>
    </w:p>
    <w:p w14:paraId="1059DF1E" w14:textId="77777777" w:rsidR="009F3010" w:rsidRPr="00AD16B0" w:rsidRDefault="009F3010">
      <w:pPr>
        <w:pStyle w:val="BodyText"/>
      </w:pPr>
      <w:r w:rsidRPr="00AD16B0">
        <w:t>The most common housing circumstances of people receiving housing support were:</w:t>
      </w:r>
    </w:p>
    <w:p w14:paraId="63834C29" w14:textId="77777777" w:rsidR="00874C7C" w:rsidRDefault="00874C7C" w:rsidP="00874C7C">
      <w:pPr>
        <w:pStyle w:val="Bullets"/>
      </w:pPr>
      <w:r>
        <w:rPr>
          <w:b/>
          <w:bCs/>
        </w:rPr>
        <w:t>605</w:t>
      </w:r>
      <w:r w:rsidR="009F3010" w:rsidRPr="00AD16B0">
        <w:t xml:space="preserve"> people renting in the private market</w:t>
      </w:r>
    </w:p>
    <w:p w14:paraId="0E63FC46" w14:textId="65C06A6E" w:rsidR="009F3010" w:rsidRPr="004C7C43" w:rsidRDefault="00874C7C" w:rsidP="00874C7C">
      <w:pPr>
        <w:pStyle w:val="Bullets"/>
      </w:pPr>
      <w:r w:rsidRPr="00874C7C">
        <w:rPr>
          <w:b/>
          <w:bCs/>
        </w:rPr>
        <w:t>380</w:t>
      </w:r>
      <w:r w:rsidR="00307671" w:rsidRPr="00874C7C">
        <w:rPr>
          <w:b/>
          <w:bCs/>
        </w:rPr>
        <w:t xml:space="preserve"> </w:t>
      </w:r>
      <w:r w:rsidR="009F3010" w:rsidRPr="004C7C43">
        <w:t>people couch</w:t>
      </w:r>
      <w:r w:rsidR="002F706E">
        <w:t>-</w:t>
      </w:r>
      <w:r w:rsidR="009F3010" w:rsidRPr="004C7C43">
        <w:t>surfing</w:t>
      </w:r>
    </w:p>
    <w:p w14:paraId="2CD1D2F0" w14:textId="2B9856AA" w:rsidR="009F3010" w:rsidRPr="004C7C43" w:rsidRDefault="00874C7C">
      <w:pPr>
        <w:pStyle w:val="Bullets"/>
      </w:pPr>
      <w:r>
        <w:rPr>
          <w:b/>
          <w:bCs/>
        </w:rPr>
        <w:t xml:space="preserve">125 </w:t>
      </w:r>
      <w:r w:rsidR="009F3010" w:rsidRPr="004C7C43">
        <w:t>people in emergency and crisis accommodation</w:t>
      </w:r>
    </w:p>
    <w:p w14:paraId="0895FBEF" w14:textId="3217A26F" w:rsidR="009F3010" w:rsidRPr="0017617B" w:rsidRDefault="00874C7C">
      <w:pPr>
        <w:pStyle w:val="Bullets"/>
      </w:pPr>
      <w:r>
        <w:rPr>
          <w:b/>
          <w:bCs/>
        </w:rPr>
        <w:t>277</w:t>
      </w:r>
      <w:r w:rsidR="00307671">
        <w:rPr>
          <w:b/>
          <w:bCs/>
        </w:rPr>
        <w:t xml:space="preserve"> </w:t>
      </w:r>
      <w:r w:rsidR="009F3010" w:rsidRPr="004C7C43">
        <w:t>people sleeping rough or in a car, tent, or improvised dwelling</w:t>
      </w:r>
      <w:r w:rsidR="00E710B4">
        <w:t>.</w:t>
      </w:r>
      <w:r w:rsidR="009F3010" w:rsidRPr="004C7C43">
        <w:t xml:space="preserve"> </w:t>
      </w:r>
    </w:p>
    <w:p w14:paraId="7BAACB2D" w14:textId="77777777" w:rsidR="00E710B4" w:rsidRDefault="00E710B4">
      <w:pPr>
        <w:widowControl/>
        <w:autoSpaceDE/>
        <w:autoSpaceDN/>
        <w:spacing w:before="0" w:after="160" w:line="278" w:lineRule="auto"/>
        <w:rPr>
          <w:rFonts w:ascii="Avenir Next Demi Bold" w:eastAsia="AvenirNextLTPro-Demi" w:hAnsi="Avenir Next Demi Bold" w:cs="AvenirNextLTPro-Demi"/>
          <w:b/>
          <w:bCs/>
          <w:color w:val="1598CB"/>
          <w:sz w:val="48"/>
          <w:szCs w:val="48"/>
        </w:rPr>
      </w:pPr>
      <w:r>
        <w:br w:type="page"/>
      </w:r>
    </w:p>
    <w:p w14:paraId="7CEEC2E2" w14:textId="6694F5E9" w:rsidR="009F3010" w:rsidRPr="004C7C43" w:rsidRDefault="009F3010" w:rsidP="00AD3919">
      <w:pPr>
        <w:pStyle w:val="Heading1"/>
      </w:pPr>
      <w:r w:rsidRPr="44D02D71">
        <w:rPr>
          <w:lang w:val="en-GB"/>
        </w:rPr>
        <w:lastRenderedPageBreak/>
        <w:t>Identifying and meeting client needs</w:t>
      </w:r>
    </w:p>
    <w:p w14:paraId="6EB747BE" w14:textId="31D7ABC0" w:rsidR="009F3010" w:rsidRDefault="009F3010">
      <w:pPr>
        <w:rPr>
          <w:lang w:val="en-AU"/>
        </w:rPr>
      </w:pPr>
      <w:r w:rsidRPr="004C7C43">
        <w:rPr>
          <w:lang w:val="en-AU"/>
        </w:rPr>
        <w:t>Working with a</w:t>
      </w:r>
      <w:r w:rsidR="00342F58">
        <w:rPr>
          <w:lang w:val="en-AU"/>
        </w:rPr>
        <w:t>n Anglicare</w:t>
      </w:r>
      <w:r w:rsidRPr="004C7C43">
        <w:rPr>
          <w:lang w:val="en-AU"/>
        </w:rPr>
        <w:t xml:space="preserve"> Connections Coach, people receiving housing support identify their needs, which can be multiple.</w:t>
      </w:r>
    </w:p>
    <w:p w14:paraId="5CF3F2C1" w14:textId="394D9DE7" w:rsidR="0029725B" w:rsidRDefault="0029725B">
      <w:pPr>
        <w:rPr>
          <w:lang w:val="en-AU"/>
        </w:rPr>
      </w:pPr>
      <w:r>
        <w:rPr>
          <w:lang w:val="en-AU"/>
        </w:rPr>
        <w:t xml:space="preserve">Over </w:t>
      </w:r>
      <w:r w:rsidR="003C3219">
        <w:rPr>
          <w:lang w:val="en-AU"/>
        </w:rPr>
        <w:t>4</w:t>
      </w:r>
      <w:r>
        <w:rPr>
          <w:lang w:val="en-AU"/>
        </w:rPr>
        <w:t xml:space="preserve">0 different types of non-housing supports were needed by clients, </w:t>
      </w:r>
      <w:r w:rsidRPr="004C7C43">
        <w:rPr>
          <w:lang w:val="en-AU"/>
        </w:rPr>
        <w:t>includ</w:t>
      </w:r>
      <w:r>
        <w:rPr>
          <w:lang w:val="en-AU"/>
        </w:rPr>
        <w:t>ing</w:t>
      </w:r>
      <w:r w:rsidRPr="004C7C43">
        <w:rPr>
          <w:lang w:val="en-AU"/>
        </w:rPr>
        <w:t xml:space="preserve"> s</w:t>
      </w:r>
      <w:r>
        <w:rPr>
          <w:lang w:val="en-AU"/>
        </w:rPr>
        <w:t>ervices</w:t>
      </w:r>
      <w:r w:rsidRPr="004C7C43">
        <w:rPr>
          <w:lang w:val="en-AU"/>
        </w:rPr>
        <w:t xml:space="preserve"> </w:t>
      </w:r>
      <w:r w:rsidR="00412BD1" w:rsidRPr="004C7C43">
        <w:rPr>
          <w:lang w:val="en-AU"/>
        </w:rPr>
        <w:t>to support</w:t>
      </w:r>
      <w:r w:rsidRPr="004C7C43">
        <w:rPr>
          <w:lang w:val="en-AU"/>
        </w:rPr>
        <w:t xml:space="preserve"> health and wellbeing, education and employment, and </w:t>
      </w:r>
      <w:r>
        <w:rPr>
          <w:lang w:val="en-AU"/>
        </w:rPr>
        <w:t xml:space="preserve">developing </w:t>
      </w:r>
      <w:r w:rsidRPr="004C7C43">
        <w:rPr>
          <w:lang w:val="en-AU"/>
        </w:rPr>
        <w:t>living skills</w:t>
      </w:r>
      <w:r>
        <w:rPr>
          <w:lang w:val="en-AU"/>
        </w:rPr>
        <w:t>. Clients received services or a referral to address 87% of non-housing support needs.</w:t>
      </w:r>
    </w:p>
    <w:p w14:paraId="084836BE" w14:textId="4E26E5BC" w:rsidR="009F3010" w:rsidRPr="00F13077" w:rsidRDefault="00F13077">
      <w:pPr>
        <w:rPr>
          <w:b/>
          <w:bCs/>
          <w:lang w:val="en-AU"/>
        </w:rPr>
      </w:pPr>
      <w:r w:rsidRPr="00F13077">
        <w:rPr>
          <w:b/>
          <w:bCs/>
          <w:lang w:val="en-AU"/>
        </w:rPr>
        <w:t xml:space="preserve">Long-term housing was a need identified by 66% of clients. </w:t>
      </w:r>
    </w:p>
    <w:p w14:paraId="5568CE18" w14:textId="7D62A337" w:rsidR="009F3010" w:rsidRDefault="009F3010">
      <w:pPr>
        <w:rPr>
          <w:b/>
          <w:bCs/>
          <w:lang w:val="en-AU"/>
        </w:rPr>
      </w:pPr>
      <w:r>
        <w:rPr>
          <w:lang w:val="en-AU"/>
        </w:rPr>
        <w:t xml:space="preserve">A shortage of </w:t>
      </w:r>
      <w:r w:rsidR="00B75E42">
        <w:rPr>
          <w:lang w:val="en-AU"/>
        </w:rPr>
        <w:t>available</w:t>
      </w:r>
      <w:r>
        <w:rPr>
          <w:lang w:val="en-AU"/>
        </w:rPr>
        <w:t xml:space="preserve"> and affordable homes resulted in only </w:t>
      </w:r>
      <w:r w:rsidR="00874C7C">
        <w:rPr>
          <w:lang w:val="en-AU"/>
        </w:rPr>
        <w:t>12%</w:t>
      </w:r>
      <w:r>
        <w:rPr>
          <w:lang w:val="en-AU"/>
        </w:rPr>
        <w:t xml:space="preserve"> of client need for short-, medium- and long-term housing being met. This is down from</w:t>
      </w:r>
      <w:r w:rsidR="00874C7C">
        <w:rPr>
          <w:lang w:val="en-AU"/>
        </w:rPr>
        <w:t xml:space="preserve"> 28%</w:t>
      </w:r>
      <w:r>
        <w:rPr>
          <w:lang w:val="en-AU"/>
        </w:rPr>
        <w:t xml:space="preserve"> for the same period last year. </w:t>
      </w:r>
      <w:r w:rsidR="00874C7C" w:rsidRPr="00811995">
        <w:rPr>
          <w:b/>
          <w:bCs/>
          <w:lang w:val="en-AU"/>
        </w:rPr>
        <w:t xml:space="preserve">This demonstrates the </w:t>
      </w:r>
      <w:r w:rsidR="00B63AE4" w:rsidRPr="00811995">
        <w:rPr>
          <w:b/>
          <w:bCs/>
          <w:lang w:val="en-AU"/>
        </w:rPr>
        <w:t xml:space="preserve">persistent </w:t>
      </w:r>
      <w:r w:rsidR="0029725B" w:rsidRPr="00811995">
        <w:rPr>
          <w:b/>
          <w:bCs/>
          <w:lang w:val="en-AU"/>
        </w:rPr>
        <w:t xml:space="preserve">ongoing </w:t>
      </w:r>
      <w:r w:rsidR="00874C7C" w:rsidRPr="00811995">
        <w:rPr>
          <w:b/>
          <w:bCs/>
          <w:lang w:val="en-AU"/>
        </w:rPr>
        <w:t>lack of housing</w:t>
      </w:r>
      <w:r w:rsidR="003E5F97">
        <w:rPr>
          <w:b/>
          <w:bCs/>
          <w:lang w:val="en-AU"/>
        </w:rPr>
        <w:t xml:space="preserve">, which impacts people on low incomes most significantly. </w:t>
      </w:r>
    </w:p>
    <w:p w14:paraId="082514EC" w14:textId="117EB825" w:rsidR="00842FC1" w:rsidRPr="00842FC1" w:rsidRDefault="0011437B" w:rsidP="0011437B">
      <w:pPr>
        <w:pStyle w:val="IntenseQuote"/>
        <w:rPr>
          <w:lang w:val="en-US"/>
        </w:rPr>
      </w:pPr>
      <w:r w:rsidRPr="0011437B">
        <w:rPr>
          <w:lang w:val="en-US"/>
        </w:rPr>
        <w:t>The shortage of affordable rentals means</w:t>
      </w:r>
      <w:r>
        <w:rPr>
          <w:lang w:val="en-US"/>
        </w:rPr>
        <w:t xml:space="preserve"> </w:t>
      </w:r>
      <w:r w:rsidRPr="0011437B">
        <w:rPr>
          <w:lang w:val="en-US"/>
        </w:rPr>
        <w:t>that people relying on income support payments are increasingly forced into severe</w:t>
      </w:r>
      <w:r>
        <w:rPr>
          <w:lang w:val="en-US"/>
        </w:rPr>
        <w:t xml:space="preserve"> </w:t>
      </w:r>
      <w:r w:rsidRPr="0011437B">
        <w:rPr>
          <w:lang w:val="en-US"/>
        </w:rPr>
        <w:t>housing stress, overcrowded housing, unsafe accommodation, or homelessness</w:t>
      </w:r>
      <w:r w:rsidR="00842FC1" w:rsidRPr="00842FC1">
        <w:rPr>
          <w:lang w:val="en-US"/>
        </w:rPr>
        <w:t>.</w:t>
      </w:r>
      <w:r w:rsidR="00842FC1">
        <w:rPr>
          <w:rStyle w:val="FootnoteReference"/>
          <w:lang w:val="en-US"/>
        </w:rPr>
        <w:footnoteReference w:id="6"/>
      </w:r>
    </w:p>
    <w:p w14:paraId="528382E9" w14:textId="0D741466" w:rsidR="009F3010" w:rsidRPr="004C7C43" w:rsidRDefault="009F3010">
      <w:pPr>
        <w:pStyle w:val="BodyText"/>
      </w:pPr>
      <w:r w:rsidRPr="004C7C43">
        <w:t xml:space="preserve">Key outcomes for people supported in </w:t>
      </w:r>
      <w:r>
        <w:t xml:space="preserve">the </w:t>
      </w:r>
      <w:r w:rsidR="002F12A8">
        <w:t>March</w:t>
      </w:r>
      <w:r w:rsidRPr="004C7C43">
        <w:t xml:space="preserve"> </w:t>
      </w:r>
      <w:r>
        <w:t>q</w:t>
      </w:r>
      <w:r w:rsidRPr="004C7C43">
        <w:t>uarter include:</w:t>
      </w:r>
    </w:p>
    <w:p w14:paraId="1A41F904" w14:textId="7F92F5B5" w:rsidR="009F3010" w:rsidRDefault="00463B13">
      <w:pPr>
        <w:pStyle w:val="Bullets"/>
      </w:pPr>
      <w:r>
        <w:t>a</w:t>
      </w:r>
      <w:r w:rsidR="002F12A8">
        <w:t xml:space="preserve"> decrease in people sleeping rough from 12.7% to 11.5%</w:t>
      </w:r>
    </w:p>
    <w:p w14:paraId="4A5616CD" w14:textId="7EB86D19" w:rsidR="009779F7" w:rsidRDefault="00463B13" w:rsidP="009779F7">
      <w:pPr>
        <w:pStyle w:val="Bullets"/>
      </w:pPr>
      <w:r>
        <w:t>a</w:t>
      </w:r>
      <w:r w:rsidR="009779F7">
        <w:t>n increase in renters nominated on the lease from 34.7% to 37%</w:t>
      </w:r>
      <w:r w:rsidR="00E710B4">
        <w:rPr>
          <w:rStyle w:val="FootnoteReference"/>
        </w:rPr>
        <w:footnoteReference w:id="7"/>
      </w:r>
    </w:p>
    <w:p w14:paraId="1D3859DA" w14:textId="2E0130C3" w:rsidR="005B2A36" w:rsidRPr="005B2A36" w:rsidRDefault="00463B13" w:rsidP="005B2A36">
      <w:pPr>
        <w:pStyle w:val="Bullets"/>
      </w:pPr>
      <w:r>
        <w:t>a</w:t>
      </w:r>
      <w:r w:rsidR="005B2A36">
        <w:t>n increase in people in emergency accommodation from 7.5% to 8.4%</w:t>
      </w:r>
      <w:r w:rsidR="00E710B4">
        <w:t>.</w:t>
      </w:r>
    </w:p>
    <w:p w14:paraId="07B93539" w14:textId="03219714" w:rsidR="009F3010" w:rsidRDefault="00C325F1">
      <w:pPr>
        <w:widowControl/>
        <w:autoSpaceDE/>
        <w:autoSpaceDN/>
        <w:spacing w:before="0" w:after="160" w:line="259" w:lineRule="auto"/>
        <w:rPr>
          <w:b/>
          <w:lang w:val="en-AU"/>
        </w:rPr>
      </w:pPr>
      <w:r>
        <w:rPr>
          <w:b/>
          <w:lang w:val="en-AU"/>
        </w:rPr>
        <w:t xml:space="preserve">Figure 1: </w:t>
      </w:r>
    </w:p>
    <w:bookmarkEnd w:id="0"/>
    <w:p w14:paraId="727689A1" w14:textId="5A20D415" w:rsidR="009F3010" w:rsidRDefault="00C67BE7">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AU"/>
        </w:rPr>
      </w:pPr>
      <w:r>
        <w:rPr>
          <w:noProof/>
          <w14:ligatures w14:val="standardContextual"/>
        </w:rPr>
        <w:drawing>
          <wp:inline distT="0" distB="0" distL="0" distR="0" wp14:anchorId="6DDCC573" wp14:editId="3F1B73F9">
            <wp:extent cx="5779008" cy="3255010"/>
            <wp:effectExtent l="0" t="0" r="12700" b="2540"/>
            <wp:docPr id="436860625" name="Chart 1" descr="Bar graph showing key needs identified and support provided for the quarter, 1 January to 31 March 2026. Each bar has a blue section showing where a service or referral was provided, and an orange section showing unmet need. In order from largest to smallest, the bars are: advice/information (all blue), other basic assistance (almost all blue), long term housing (mostly orange), medium term/transitional housing (mostly orange), short term or emergency accommodation (mostly orange), advocacy/liaison on behalf of client (mostly blue), material aid/brokerage (mostly blue), financial information (over half blue), assistance to sustain tenancy or prevent tenancy failure of eviction (mostly orange), and employment assistance (mostly orange).">
              <a:extLst xmlns:a="http://schemas.openxmlformats.org/drawingml/2006/main">
                <a:ext uri="{FF2B5EF4-FFF2-40B4-BE49-F238E27FC236}">
                  <a16:creationId xmlns:a16="http://schemas.microsoft.com/office/drawing/2014/main" id="{AA43454C-5422-4237-CB7A-1CCEDDD726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567BD5" w14:textId="77777777" w:rsidR="00534FE9" w:rsidRPr="00AD16B0" w:rsidRDefault="00534FE9" w:rsidP="00534FE9">
      <w:pPr>
        <w:pStyle w:val="Heading1"/>
      </w:pPr>
      <w:r w:rsidRPr="00AD16B0">
        <w:lastRenderedPageBreak/>
        <w:t xml:space="preserve">Housing system indicators </w:t>
      </w:r>
    </w:p>
    <w:p w14:paraId="33D9A021" w14:textId="77777777" w:rsidR="00534FE9" w:rsidRDefault="00534FE9" w:rsidP="00534FE9">
      <w:pPr>
        <w:rPr>
          <w:bCs/>
          <w:lang w:val="en-AU"/>
        </w:rPr>
      </w:pPr>
      <w:r>
        <w:rPr>
          <w:bCs/>
          <w:lang w:val="en-AU"/>
        </w:rPr>
        <w:t xml:space="preserve">Tasmania’s housing system indicators have </w:t>
      </w:r>
      <w:r w:rsidRPr="00765AFA">
        <w:rPr>
          <w:bCs/>
          <w:lang w:val="en-AU"/>
        </w:rPr>
        <w:t>continued to deteriorate over the past 12 months.</w:t>
      </w:r>
      <w:r>
        <w:rPr>
          <w:bCs/>
          <w:lang w:val="en-AU"/>
        </w:rPr>
        <w:t xml:space="preserve"> </w:t>
      </w:r>
    </w:p>
    <w:p w14:paraId="3EE0CE4E" w14:textId="25B7F8B8" w:rsidR="00534FE9" w:rsidRPr="00A23DA4" w:rsidRDefault="00534FE9" w:rsidP="00534FE9">
      <w:pPr>
        <w:rPr>
          <w:bCs/>
          <w:lang w:val="en-AU"/>
        </w:rPr>
      </w:pPr>
      <w:r>
        <w:rPr>
          <w:bCs/>
          <w:lang w:val="en-AU"/>
        </w:rPr>
        <w:t>Private rents in Tasmania have increased by 1.7% over the March quarter.</w:t>
      </w:r>
      <w:r>
        <w:rPr>
          <w:rStyle w:val="FootnoteReference"/>
          <w:bCs/>
          <w:lang w:val="en-AU"/>
        </w:rPr>
        <w:footnoteReference w:id="8"/>
      </w:r>
      <w:r>
        <w:rPr>
          <w:bCs/>
          <w:lang w:val="en-AU"/>
        </w:rPr>
        <w:t xml:space="preserve"> Rents have continued to rise faster than wages, further widening the gap between </w:t>
      </w:r>
      <w:r w:rsidR="000303C5">
        <w:rPr>
          <w:bCs/>
          <w:lang w:val="en-AU"/>
        </w:rPr>
        <w:t xml:space="preserve">market rent </w:t>
      </w:r>
      <w:r>
        <w:rPr>
          <w:bCs/>
          <w:lang w:val="en-AU"/>
        </w:rPr>
        <w:t>and what people can afford to pay. People on low incomes are impacted most significantly by persistent low rental vacancy rates and the lack of affordable housing, with growing numbers of people experiencing homelessness.</w:t>
      </w:r>
    </w:p>
    <w:p w14:paraId="515768A4" w14:textId="77777777" w:rsidR="00534FE9" w:rsidRDefault="00534FE9" w:rsidP="00534FE9">
      <w:pPr>
        <w:rPr>
          <w:bCs/>
          <w:lang w:val="en-AU"/>
        </w:rPr>
      </w:pPr>
      <w:r>
        <w:rPr>
          <w:bCs/>
          <w:lang w:val="en-AU"/>
        </w:rPr>
        <w:t xml:space="preserve">Anglicare Tasmania continues to call on governments to take direct action to increase affordable supply by building more social homes. </w:t>
      </w:r>
    </w:p>
    <w:p w14:paraId="21564168" w14:textId="5FC9D415" w:rsidR="00534FE9" w:rsidRDefault="00534FE9" w:rsidP="00534FE9">
      <w:pPr>
        <w:pStyle w:val="ListParagraph"/>
        <w:rPr>
          <w:lang w:val="en-AU"/>
        </w:rPr>
      </w:pPr>
      <w:r>
        <w:rPr>
          <w:lang w:val="en-AU"/>
        </w:rPr>
        <w:t>Re</w:t>
      </w:r>
      <w:r w:rsidRPr="000E09E3">
        <w:rPr>
          <w:lang w:val="en-AU"/>
        </w:rPr>
        <w:t xml:space="preserve">nts grew </w:t>
      </w:r>
      <w:r>
        <w:rPr>
          <w:lang w:val="en-AU"/>
        </w:rPr>
        <w:t xml:space="preserve">more than </w:t>
      </w:r>
      <w:r w:rsidRPr="00CF6061">
        <w:rPr>
          <w:b/>
          <w:bCs/>
          <w:lang w:val="en-AU"/>
        </w:rPr>
        <w:t>2X</w:t>
      </w:r>
      <w:r w:rsidRPr="00CF6061">
        <w:rPr>
          <w:lang w:val="en-AU"/>
        </w:rPr>
        <w:t xml:space="preserve"> faster than wages</w:t>
      </w:r>
      <w:r w:rsidRPr="000E09E3">
        <w:rPr>
          <w:lang w:val="en-AU"/>
        </w:rPr>
        <w:t>, March 2025 to March 2026</w:t>
      </w:r>
      <w:r w:rsidR="0056469F">
        <w:rPr>
          <w:lang w:val="en-AU"/>
        </w:rPr>
        <w:t>.</w:t>
      </w:r>
      <w:r>
        <w:rPr>
          <w:rStyle w:val="FootnoteReference"/>
          <w:lang w:val="en-AU"/>
        </w:rPr>
        <w:footnoteReference w:id="9"/>
      </w:r>
      <w:r w:rsidRPr="000E09E3">
        <w:rPr>
          <w:lang w:val="en-AU"/>
        </w:rPr>
        <w:t xml:space="preserve"> </w:t>
      </w:r>
    </w:p>
    <w:p w14:paraId="051806DB" w14:textId="5CDA0F28" w:rsidR="00534FE9" w:rsidRDefault="00534FE9" w:rsidP="00534FE9">
      <w:pPr>
        <w:pStyle w:val="ListParagraph"/>
        <w:rPr>
          <w:lang w:val="en-AU"/>
        </w:rPr>
      </w:pPr>
      <w:r w:rsidRPr="002637D5">
        <w:rPr>
          <w:b/>
          <w:bCs/>
          <w:lang w:val="en-AU"/>
        </w:rPr>
        <w:t>0%</w:t>
      </w:r>
      <w:r>
        <w:rPr>
          <w:lang w:val="en-AU"/>
        </w:rPr>
        <w:t xml:space="preserve"> of private rentals </w:t>
      </w:r>
      <w:r w:rsidR="00B80505">
        <w:rPr>
          <w:lang w:val="en-AU"/>
        </w:rPr>
        <w:t xml:space="preserve">are </w:t>
      </w:r>
      <w:r>
        <w:rPr>
          <w:lang w:val="en-AU"/>
        </w:rPr>
        <w:t>affordable for Tasmanians relying on income support payments</w:t>
      </w:r>
      <w:r w:rsidR="0056469F">
        <w:rPr>
          <w:lang w:val="en-AU"/>
        </w:rPr>
        <w:t>.</w:t>
      </w:r>
      <w:r>
        <w:rPr>
          <w:rStyle w:val="FootnoteReference"/>
          <w:lang w:val="en-AU"/>
        </w:rPr>
        <w:footnoteReference w:id="10"/>
      </w:r>
    </w:p>
    <w:p w14:paraId="05CBAB65" w14:textId="34845017" w:rsidR="00534FE9" w:rsidRDefault="00534FE9" w:rsidP="00534FE9">
      <w:pPr>
        <w:pStyle w:val="ListParagraph"/>
        <w:rPr>
          <w:lang w:val="en-AU"/>
        </w:rPr>
      </w:pPr>
      <w:r w:rsidRPr="002637D5">
        <w:rPr>
          <w:b/>
          <w:bCs/>
          <w:lang w:val="en-AU"/>
        </w:rPr>
        <w:t>5,533</w:t>
      </w:r>
      <w:r>
        <w:rPr>
          <w:lang w:val="en-AU"/>
        </w:rPr>
        <w:t xml:space="preserve"> social housing register applications, up 9% over 12 months</w:t>
      </w:r>
      <w:r w:rsidR="0056469F">
        <w:rPr>
          <w:lang w:val="en-AU"/>
        </w:rPr>
        <w:t>.</w:t>
      </w:r>
      <w:r>
        <w:rPr>
          <w:rStyle w:val="FootnoteReference"/>
          <w:lang w:val="en-AU"/>
        </w:rPr>
        <w:footnoteReference w:id="11"/>
      </w:r>
    </w:p>
    <w:p w14:paraId="717AFF21" w14:textId="53016509" w:rsidR="00534FE9" w:rsidRPr="000E09E3" w:rsidRDefault="00534FE9" w:rsidP="00534FE9">
      <w:pPr>
        <w:pStyle w:val="ListParagraph"/>
        <w:rPr>
          <w:lang w:val="en-AU"/>
        </w:rPr>
      </w:pPr>
      <w:r w:rsidRPr="002637D5">
        <w:rPr>
          <w:b/>
          <w:bCs/>
          <w:lang w:val="en-AU"/>
        </w:rPr>
        <w:t>88.1</w:t>
      </w:r>
      <w:r>
        <w:rPr>
          <w:lang w:val="en-AU"/>
        </w:rPr>
        <w:t xml:space="preserve"> weeks on average to house priority applicants</w:t>
      </w:r>
      <w:r w:rsidR="0056469F">
        <w:rPr>
          <w:lang w:val="en-AU"/>
        </w:rPr>
        <w:t>.</w:t>
      </w:r>
      <w:r>
        <w:rPr>
          <w:rStyle w:val="FootnoteReference"/>
          <w:lang w:val="en-AU"/>
        </w:rPr>
        <w:footnoteReference w:id="12"/>
      </w:r>
      <w:r>
        <w:rPr>
          <w:lang w:val="en-AU"/>
        </w:rPr>
        <w:t xml:space="preserve"> </w:t>
      </w:r>
    </w:p>
    <w:p w14:paraId="169A9318" w14:textId="1C02799C" w:rsidR="00534FE9" w:rsidRPr="002637D5" w:rsidRDefault="0054126B" w:rsidP="00534FE9">
      <w:pPr>
        <w:rPr>
          <w:b/>
          <w:lang w:val="en-AU"/>
        </w:rPr>
      </w:pPr>
      <w:r>
        <w:rPr>
          <w:b/>
          <w:lang w:val="en-AU"/>
        </w:rPr>
        <w:t xml:space="preserve">Figure 2: </w:t>
      </w:r>
      <w:r w:rsidR="00534FE9" w:rsidRPr="002637D5">
        <w:rPr>
          <w:b/>
          <w:lang w:val="en-AU"/>
        </w:rPr>
        <w:t>The rental vacancy rate remains critically</w:t>
      </w:r>
      <w:r w:rsidR="00534FE9">
        <w:rPr>
          <w:b/>
          <w:lang w:val="en-AU"/>
        </w:rPr>
        <w:t xml:space="preserve"> </w:t>
      </w:r>
      <w:r w:rsidR="00534FE9" w:rsidRPr="002637D5">
        <w:rPr>
          <w:b/>
          <w:lang w:val="en-AU"/>
        </w:rPr>
        <w:t xml:space="preserve">low in all regions </w:t>
      </w:r>
    </w:p>
    <w:p w14:paraId="4309CE2B" w14:textId="77777777" w:rsidR="00534FE9" w:rsidRDefault="00534FE9" w:rsidP="00534FE9">
      <w:pPr>
        <w:widowControl/>
        <w:autoSpaceDE/>
        <w:autoSpaceDN/>
        <w:spacing w:before="0" w:after="160" w:line="278" w:lineRule="auto"/>
      </w:pPr>
      <w:r>
        <w:rPr>
          <w:noProof/>
          <w14:ligatures w14:val="standardContextual"/>
        </w:rPr>
        <w:drawing>
          <wp:inline distT="0" distB="0" distL="0" distR="0" wp14:anchorId="66E39492" wp14:editId="519070BC">
            <wp:extent cx="5537200" cy="3232150"/>
            <wp:effectExtent l="0" t="0" r="6350" b="6350"/>
            <wp:docPr id="1028095725" name="Chart 1" descr="Line graph showing a line for the target vacancy rate of 3% and lines for Hobart, Burnie and Launceston vacancy rates, which are clustered together below 1%.">
              <a:extLst xmlns:a="http://schemas.openxmlformats.org/drawingml/2006/main">
                <a:ext uri="{FF2B5EF4-FFF2-40B4-BE49-F238E27FC236}">
                  <a16:creationId xmlns:a16="http://schemas.microsoft.com/office/drawing/2014/main" id="{811D9F4D-6B40-0C73-4D6F-85F3DF027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372847" w14:textId="77777777" w:rsidR="00534FE9" w:rsidRPr="005C6123" w:rsidRDefault="00534FE9" w:rsidP="00534FE9">
      <w:pPr>
        <w:rPr>
          <w:lang w:val="en-AU"/>
        </w:rPr>
      </w:pPr>
      <w:r w:rsidRPr="005C6123">
        <w:rPr>
          <w:lang w:val="en-AU"/>
        </w:rPr>
        <w:t xml:space="preserve">Data source: </w:t>
      </w:r>
      <w:r w:rsidRPr="005C6123">
        <w:rPr>
          <w:i/>
          <w:iCs/>
          <w:lang w:val="en-AU"/>
        </w:rPr>
        <w:t>Homes Tasmania Housing Dashboard</w:t>
      </w:r>
    </w:p>
    <w:p w14:paraId="611111C5" w14:textId="77777777" w:rsidR="00534FE9" w:rsidRDefault="00534FE9" w:rsidP="00534FE9">
      <w:pPr>
        <w:widowControl/>
        <w:autoSpaceDE/>
        <w:autoSpaceDN/>
        <w:spacing w:before="0" w:after="160" w:line="278" w:lineRule="auto"/>
        <w:rPr>
          <w:rFonts w:ascii="Avenir Next Demi Bold" w:eastAsia="AvenirNextLTPro-Demi" w:hAnsi="Avenir Next Demi Bold" w:cs="AvenirNextLTPro-Demi"/>
          <w:b/>
          <w:bCs/>
          <w:color w:val="1598CB"/>
          <w:sz w:val="48"/>
          <w:szCs w:val="48"/>
          <w:lang w:val="en-AU"/>
        </w:rPr>
      </w:pPr>
      <w:r>
        <w:br w:type="page"/>
      </w:r>
    </w:p>
    <w:p w14:paraId="6C26C51D" w14:textId="4635E4F0" w:rsidR="00FE7C81" w:rsidRDefault="00FE7C81" w:rsidP="00FE7C81">
      <w:pPr>
        <w:pStyle w:val="Heading1"/>
      </w:pPr>
      <w:r w:rsidRPr="00BA1C30">
        <w:lastRenderedPageBreak/>
        <w:t xml:space="preserve">Young people </w:t>
      </w:r>
      <w:r w:rsidR="00BA1C30" w:rsidRPr="00BA1C30">
        <w:t xml:space="preserve">need stable housing to secure </w:t>
      </w:r>
      <w:r w:rsidR="00BA1C30">
        <w:t>hope for the</w:t>
      </w:r>
      <w:r w:rsidR="00BA1C30" w:rsidRPr="00BA1C30">
        <w:t xml:space="preserve"> future</w:t>
      </w:r>
    </w:p>
    <w:p w14:paraId="0E7013B9" w14:textId="6EFB65DC" w:rsidR="00CE3171" w:rsidRDefault="00370FCA" w:rsidP="00370FCA">
      <w:pPr>
        <w:widowControl/>
        <w:adjustRightInd w:val="0"/>
        <w:spacing w:before="0"/>
      </w:pPr>
      <w:r>
        <w:t>In the March quarter, 9</w:t>
      </w:r>
      <w:r w:rsidR="00B24561">
        <w:t>0 individual</w:t>
      </w:r>
      <w:r>
        <w:t xml:space="preserve"> young people aged 16-17 years old, like Ellie (below)</w:t>
      </w:r>
      <w:r w:rsidR="009849CE">
        <w:t>,</w:t>
      </w:r>
      <w:r>
        <w:t xml:space="preserve"> </w:t>
      </w:r>
      <w:r w:rsidR="00EE3BB3">
        <w:t>had a support period</w:t>
      </w:r>
      <w:r>
        <w:t xml:space="preserve"> </w:t>
      </w:r>
      <w:r w:rsidR="00EE3BB3">
        <w:t xml:space="preserve">with the </w:t>
      </w:r>
      <w:r>
        <w:t xml:space="preserve">Housing Connect Front Door </w:t>
      </w:r>
      <w:r w:rsidR="004D7436">
        <w:t>s</w:t>
      </w:r>
      <w:r>
        <w:t>ervice.</w:t>
      </w:r>
      <w:r>
        <w:rPr>
          <w:rStyle w:val="FootnoteReference"/>
        </w:rPr>
        <w:footnoteReference w:id="13"/>
      </w:r>
      <w:r>
        <w:t xml:space="preserve"> </w:t>
      </w:r>
    </w:p>
    <w:p w14:paraId="37442ADF" w14:textId="51E662FB" w:rsidR="00370FCA" w:rsidRDefault="00370FCA" w:rsidP="00370FCA">
      <w:pPr>
        <w:widowControl/>
        <w:adjustRightInd w:val="0"/>
        <w:spacing w:before="0"/>
      </w:pPr>
      <w:r>
        <w:t xml:space="preserve">Throughout this section, ‘young people’ refers to </w:t>
      </w:r>
      <w:r w:rsidR="004D7436">
        <w:t xml:space="preserve">these </w:t>
      </w:r>
      <w:r>
        <w:t>young people aged 16-17.</w:t>
      </w:r>
    </w:p>
    <w:p w14:paraId="45657171" w14:textId="77777777" w:rsidR="00370FCA" w:rsidRPr="00370FCA" w:rsidRDefault="00370FCA" w:rsidP="00370FCA">
      <w:pPr>
        <w:pStyle w:val="BodyText"/>
      </w:pPr>
    </w:p>
    <w:p w14:paraId="628B3D58" w14:textId="77777777" w:rsidR="00370FCA" w:rsidRPr="004218E5" w:rsidRDefault="00370FCA" w:rsidP="00370FCA">
      <w:pPr>
        <w:pStyle w:val="Breakout"/>
      </w:pPr>
      <w:r>
        <w:t xml:space="preserve">Ellie’s story </w:t>
      </w:r>
    </w:p>
    <w:p w14:paraId="12BD374E" w14:textId="7F6A6042" w:rsidR="00370FCA" w:rsidRPr="004218E5" w:rsidRDefault="00370FCA" w:rsidP="00370FCA">
      <w:pPr>
        <w:rPr>
          <w:lang w:val="en-US"/>
        </w:rPr>
      </w:pPr>
      <w:r w:rsidRPr="004218E5">
        <w:rPr>
          <w:lang w:val="en-US"/>
        </w:rPr>
        <w:t xml:space="preserve">When </w:t>
      </w:r>
      <w:r w:rsidR="00B6059C">
        <w:rPr>
          <w:lang w:val="en-US"/>
        </w:rPr>
        <w:t xml:space="preserve">16-year-old </w:t>
      </w:r>
      <w:r w:rsidRPr="004218E5">
        <w:rPr>
          <w:lang w:val="en-US"/>
        </w:rPr>
        <w:t xml:space="preserve">Ellie walked </w:t>
      </w:r>
      <w:r w:rsidR="001F5991">
        <w:rPr>
          <w:lang w:val="en-US"/>
        </w:rPr>
        <w:t>into the</w:t>
      </w:r>
      <w:r w:rsidRPr="004218E5">
        <w:rPr>
          <w:lang w:val="en-US"/>
        </w:rPr>
        <w:t xml:space="preserve"> Housing Connect </w:t>
      </w:r>
      <w:r w:rsidR="001F5991">
        <w:rPr>
          <w:lang w:val="en-US"/>
        </w:rPr>
        <w:t>Front Door</w:t>
      </w:r>
      <w:r w:rsidRPr="004218E5">
        <w:rPr>
          <w:lang w:val="en-US"/>
        </w:rPr>
        <w:t xml:space="preserve">, she had already been through more than most people her age. For the past </w:t>
      </w:r>
      <w:r>
        <w:rPr>
          <w:lang w:val="en-US"/>
        </w:rPr>
        <w:t>month</w:t>
      </w:r>
      <w:r w:rsidRPr="004218E5">
        <w:rPr>
          <w:lang w:val="en-US"/>
        </w:rPr>
        <w:t>, she had been staying at a youth shelter, having made the difficult decision to leave her family home</w:t>
      </w:r>
      <w:r>
        <w:rPr>
          <w:lang w:val="en-US"/>
        </w:rPr>
        <w:t xml:space="preserve"> after it became unsafe for her.</w:t>
      </w:r>
    </w:p>
    <w:p w14:paraId="7FFF791C" w14:textId="20C4CDEC" w:rsidR="00370FCA" w:rsidRPr="004218E5" w:rsidRDefault="00370FCA" w:rsidP="00370FCA">
      <w:pPr>
        <w:rPr>
          <w:lang w:val="en-US"/>
        </w:rPr>
      </w:pPr>
      <w:r w:rsidRPr="004218E5">
        <w:rPr>
          <w:lang w:val="en-US"/>
        </w:rPr>
        <w:t xml:space="preserve">Ellie </w:t>
      </w:r>
      <w:r>
        <w:rPr>
          <w:lang w:val="en-US"/>
        </w:rPr>
        <w:t>had experienced</w:t>
      </w:r>
      <w:r w:rsidRPr="004218E5">
        <w:rPr>
          <w:lang w:val="en-US"/>
        </w:rPr>
        <w:t xml:space="preserve"> </w:t>
      </w:r>
      <w:r>
        <w:rPr>
          <w:lang w:val="en-US"/>
        </w:rPr>
        <w:t>neglect and ongoing verbal, emotional and physical abuse</w:t>
      </w:r>
      <w:r w:rsidR="00547AD3">
        <w:rPr>
          <w:lang w:val="en-US"/>
        </w:rPr>
        <w:t xml:space="preserve"> from her mother.</w:t>
      </w:r>
      <w:r>
        <w:rPr>
          <w:lang w:val="en-US"/>
        </w:rPr>
        <w:t xml:space="preserve"> </w:t>
      </w:r>
      <w:r w:rsidRPr="004218E5">
        <w:rPr>
          <w:lang w:val="en-US"/>
        </w:rPr>
        <w:t>Her father</w:t>
      </w:r>
      <w:r w:rsidR="004D7436">
        <w:rPr>
          <w:lang w:val="en-US"/>
        </w:rPr>
        <w:t xml:space="preserve"> </w:t>
      </w:r>
      <w:r w:rsidRPr="004218E5">
        <w:rPr>
          <w:lang w:val="en-US"/>
        </w:rPr>
        <w:t>had previously been assessed as unable to care for her, leaving her without a safe parental figure to turn to.</w:t>
      </w:r>
    </w:p>
    <w:p w14:paraId="06D615D8" w14:textId="390963D3" w:rsidR="00370FCA" w:rsidRPr="004218E5" w:rsidRDefault="00370FCA" w:rsidP="00370FCA">
      <w:pPr>
        <w:rPr>
          <w:lang w:val="en-US"/>
        </w:rPr>
      </w:pPr>
      <w:r w:rsidRPr="004218E5">
        <w:rPr>
          <w:lang w:val="en-US"/>
        </w:rPr>
        <w:t xml:space="preserve">Ellie showed </w:t>
      </w:r>
      <w:r>
        <w:rPr>
          <w:lang w:val="en-US"/>
        </w:rPr>
        <w:t xml:space="preserve">a lot of </w:t>
      </w:r>
      <w:r w:rsidRPr="004218E5">
        <w:rPr>
          <w:lang w:val="en-US"/>
        </w:rPr>
        <w:t>resilience. When she first sought support, she was navigating mental health challenges</w:t>
      </w:r>
      <w:r w:rsidR="00547AD3">
        <w:rPr>
          <w:lang w:val="en-US"/>
        </w:rPr>
        <w:t xml:space="preserve"> due to her circumstances</w:t>
      </w:r>
      <w:r w:rsidRPr="004218E5">
        <w:rPr>
          <w:lang w:val="en-US"/>
        </w:rPr>
        <w:t>.</w:t>
      </w:r>
      <w:r w:rsidR="00547AD3">
        <w:rPr>
          <w:lang w:val="en-US"/>
        </w:rPr>
        <w:t xml:space="preserve"> Housing Connect staff connected her to a range of support services, including </w:t>
      </w:r>
      <w:r w:rsidRPr="004218E5">
        <w:rPr>
          <w:lang w:val="en-US"/>
        </w:rPr>
        <w:t>a youth mental health service,</w:t>
      </w:r>
      <w:r w:rsidR="00547AD3">
        <w:rPr>
          <w:lang w:val="en-US"/>
        </w:rPr>
        <w:t xml:space="preserve"> which was</w:t>
      </w:r>
      <w:r w:rsidRPr="004218E5">
        <w:rPr>
          <w:lang w:val="en-US"/>
        </w:rPr>
        <w:t xml:space="preserve"> an important step toward understanding and managing her wellbeing. </w:t>
      </w:r>
    </w:p>
    <w:p w14:paraId="5E10BDE2" w14:textId="4DFF49CF" w:rsidR="00370FCA" w:rsidRPr="004218E5" w:rsidRDefault="00547AD3" w:rsidP="00370FCA">
      <w:pPr>
        <w:rPr>
          <w:lang w:val="en-US"/>
        </w:rPr>
      </w:pPr>
      <w:r>
        <w:rPr>
          <w:lang w:val="en-US"/>
        </w:rPr>
        <w:t>Ellie</w:t>
      </w:r>
      <w:r w:rsidR="00370FCA" w:rsidRPr="004218E5">
        <w:rPr>
          <w:lang w:val="en-US"/>
        </w:rPr>
        <w:t xml:space="preserve"> </w:t>
      </w:r>
      <w:r w:rsidR="00370FCA">
        <w:rPr>
          <w:lang w:val="en-US"/>
        </w:rPr>
        <w:t>received assistance to apply for</w:t>
      </w:r>
      <w:r w:rsidR="00370FCA" w:rsidRPr="004218E5">
        <w:rPr>
          <w:lang w:val="en-US"/>
        </w:rPr>
        <w:t xml:space="preserve"> Centrelink </w:t>
      </w:r>
      <w:r w:rsidR="00370FCA">
        <w:rPr>
          <w:lang w:val="en-US"/>
        </w:rPr>
        <w:t xml:space="preserve">income support </w:t>
      </w:r>
      <w:r w:rsidR="00370FCA" w:rsidRPr="004218E5">
        <w:rPr>
          <w:lang w:val="en-US"/>
        </w:rPr>
        <w:t>payments</w:t>
      </w:r>
      <w:r w:rsidR="00370FCA">
        <w:rPr>
          <w:lang w:val="en-US"/>
        </w:rPr>
        <w:t xml:space="preserve"> to give</w:t>
      </w:r>
      <w:r w:rsidR="00370FCA" w:rsidRPr="004218E5">
        <w:rPr>
          <w:lang w:val="en-US"/>
        </w:rPr>
        <w:t xml:space="preserve"> her a more secure financial footing. </w:t>
      </w:r>
      <w:r>
        <w:rPr>
          <w:lang w:val="en-US"/>
        </w:rPr>
        <w:t xml:space="preserve">She began </w:t>
      </w:r>
      <w:r w:rsidRPr="004218E5">
        <w:rPr>
          <w:lang w:val="en-US"/>
        </w:rPr>
        <w:t>to build some stability</w:t>
      </w:r>
      <w:r>
        <w:rPr>
          <w:lang w:val="en-US"/>
        </w:rPr>
        <w:t xml:space="preserve"> and</w:t>
      </w:r>
      <w:r w:rsidR="00370FCA" w:rsidRPr="004218E5">
        <w:rPr>
          <w:lang w:val="en-US"/>
        </w:rPr>
        <w:t xml:space="preserve"> was referred to the Youth2Independence (Y2I) progra</w:t>
      </w:r>
      <w:r w:rsidR="00370FCA">
        <w:rPr>
          <w:lang w:val="en-US"/>
        </w:rPr>
        <w:t>m</w:t>
      </w:r>
      <w:r>
        <w:rPr>
          <w:lang w:val="en-US"/>
        </w:rPr>
        <w:t>. Ellie</w:t>
      </w:r>
      <w:r w:rsidR="00370FCA">
        <w:rPr>
          <w:lang w:val="en-US"/>
        </w:rPr>
        <w:t xml:space="preserve"> has since moved into her own unit in Y2I accommodation. </w:t>
      </w:r>
      <w:r w:rsidR="00370FCA" w:rsidRPr="004218E5">
        <w:rPr>
          <w:lang w:val="en-US"/>
        </w:rPr>
        <w:t xml:space="preserve">In this new space, she has begun to find a sense of safety and independence. </w:t>
      </w:r>
    </w:p>
    <w:p w14:paraId="43516CB4" w14:textId="6DC53179" w:rsidR="00370FCA" w:rsidRPr="004218E5" w:rsidRDefault="00370FCA" w:rsidP="00370FCA">
      <w:pPr>
        <w:rPr>
          <w:lang w:val="en-US"/>
        </w:rPr>
      </w:pPr>
      <w:r w:rsidRPr="004218E5">
        <w:rPr>
          <w:lang w:val="en-US"/>
        </w:rPr>
        <w:t xml:space="preserve">Now Ellie is turning her attention to </w:t>
      </w:r>
      <w:r>
        <w:rPr>
          <w:lang w:val="en-US"/>
        </w:rPr>
        <w:t>the</w:t>
      </w:r>
      <w:r w:rsidRPr="004218E5">
        <w:rPr>
          <w:lang w:val="en-US"/>
        </w:rPr>
        <w:t xml:space="preserve"> future</w:t>
      </w:r>
      <w:r>
        <w:rPr>
          <w:lang w:val="en-US"/>
        </w:rPr>
        <w:t xml:space="preserve">, </w:t>
      </w:r>
      <w:r w:rsidRPr="004218E5">
        <w:rPr>
          <w:lang w:val="en-US"/>
        </w:rPr>
        <w:t xml:space="preserve">continuing her education and exploring pathways into employment. </w:t>
      </w:r>
      <w:r>
        <w:rPr>
          <w:lang w:val="en-US"/>
        </w:rPr>
        <w:t xml:space="preserve">She </w:t>
      </w:r>
      <w:r w:rsidRPr="004218E5">
        <w:rPr>
          <w:lang w:val="en-US"/>
        </w:rPr>
        <w:t>is moving forward with strength, building a life that looks very different from the one she left behind.</w:t>
      </w:r>
    </w:p>
    <w:p w14:paraId="72F09824" w14:textId="77777777" w:rsidR="00370FCA" w:rsidRDefault="00370FCA">
      <w:pPr>
        <w:widowControl/>
        <w:autoSpaceDE/>
        <w:autoSpaceDN/>
        <w:spacing w:before="0" w:after="160" w:line="278" w:lineRule="auto"/>
      </w:pPr>
      <w:r>
        <w:br w:type="page"/>
      </w:r>
    </w:p>
    <w:p w14:paraId="67553956" w14:textId="61118D54" w:rsidR="003510B8" w:rsidRDefault="00370FCA" w:rsidP="00CE4F12">
      <w:pPr>
        <w:pStyle w:val="Heading2"/>
      </w:pPr>
      <w:r>
        <w:lastRenderedPageBreak/>
        <w:t>Circumstances of young people when presenting for support</w:t>
      </w:r>
    </w:p>
    <w:p w14:paraId="3C090C06" w14:textId="778DEC93" w:rsidR="007F2E43" w:rsidRDefault="007F2E43" w:rsidP="007F2E43">
      <w:pPr>
        <w:pStyle w:val="Bullets"/>
      </w:pPr>
      <w:r>
        <w:t>5</w:t>
      </w:r>
      <w:r w:rsidR="00B24561">
        <w:t>9</w:t>
      </w:r>
      <w:r>
        <w:t>% were a</w:t>
      </w:r>
      <w:r w:rsidDel="0012332F">
        <w:t xml:space="preserve"> </w:t>
      </w:r>
      <w:r>
        <w:t xml:space="preserve">lone person </w:t>
      </w:r>
      <w:r w:rsidR="1CCEBF37">
        <w:t>household</w:t>
      </w:r>
      <w:r w:rsidR="0056469F">
        <w:t>.</w:t>
      </w:r>
    </w:p>
    <w:p w14:paraId="211B0B93" w14:textId="1AB9A93C" w:rsidR="003510B8" w:rsidRDefault="003510B8" w:rsidP="003510B8">
      <w:pPr>
        <w:pStyle w:val="Bullets"/>
      </w:pPr>
      <w:r>
        <w:t>6</w:t>
      </w:r>
      <w:r w:rsidR="00B24561">
        <w:t>0</w:t>
      </w:r>
      <w:r>
        <w:t>% had been homeless in the last month, and 6</w:t>
      </w:r>
      <w:r w:rsidR="00B24561">
        <w:t>2</w:t>
      </w:r>
      <w:r>
        <w:t>% had been homeless in the last 12 months</w:t>
      </w:r>
      <w:r w:rsidR="0056469F">
        <w:t>.</w:t>
      </w:r>
      <w:r w:rsidR="00E671B8">
        <w:rPr>
          <w:rStyle w:val="FootnoteReference"/>
        </w:rPr>
        <w:footnoteReference w:id="14"/>
      </w:r>
    </w:p>
    <w:p w14:paraId="2B31CE3A" w14:textId="5F9E1094" w:rsidR="00A3602A" w:rsidRDefault="00A3602A" w:rsidP="00A3602A">
      <w:pPr>
        <w:pStyle w:val="Bullets"/>
      </w:pPr>
      <w:r>
        <w:t>For 3</w:t>
      </w:r>
      <w:r w:rsidR="00B24561">
        <w:t>8</w:t>
      </w:r>
      <w:r>
        <w:t>%, it was more than a month since their last permanent address</w:t>
      </w:r>
      <w:r w:rsidR="0056469F">
        <w:t>.</w:t>
      </w:r>
    </w:p>
    <w:p w14:paraId="7756A85A" w14:textId="4DEED6EE" w:rsidR="00181D3F" w:rsidRPr="00181D3F" w:rsidRDefault="00181D3F" w:rsidP="00181D3F">
      <w:pPr>
        <w:pStyle w:val="Bullets"/>
      </w:pPr>
      <w:r>
        <w:t>33% were couch surfing</w:t>
      </w:r>
      <w:r w:rsidR="0056469F">
        <w:t>.</w:t>
      </w:r>
    </w:p>
    <w:p w14:paraId="6EED3241" w14:textId="5EB84825" w:rsidR="003510B8" w:rsidRPr="00744806" w:rsidRDefault="00744806" w:rsidP="00181D3F">
      <w:pPr>
        <w:pStyle w:val="Bullets"/>
      </w:pPr>
      <w:r w:rsidRPr="00744806">
        <w:t>5</w:t>
      </w:r>
      <w:r w:rsidR="00B24561">
        <w:t>0</w:t>
      </w:r>
      <w:r w:rsidR="003510B8" w:rsidRPr="00744806">
        <w:t>% had no tenure</w:t>
      </w:r>
      <w:r w:rsidR="0056469F">
        <w:t>.</w:t>
      </w:r>
      <w:r w:rsidR="0095501B" w:rsidRPr="00744806">
        <w:t xml:space="preserve"> </w:t>
      </w:r>
    </w:p>
    <w:p w14:paraId="589129CA" w14:textId="5EB48B8E" w:rsidR="00905B6E" w:rsidRPr="00905B6E" w:rsidRDefault="0095501B" w:rsidP="00905B6E">
      <w:pPr>
        <w:pStyle w:val="Bullets"/>
      </w:pPr>
      <w:r w:rsidRPr="0095501B">
        <w:t>56% were enrolled in education or training</w:t>
      </w:r>
      <w:r w:rsidR="0056469F">
        <w:t>.</w:t>
      </w:r>
      <w:r>
        <w:rPr>
          <w:b/>
          <w:bCs/>
        </w:rPr>
        <w:t xml:space="preserve"> </w:t>
      </w:r>
    </w:p>
    <w:p w14:paraId="573B94DE" w14:textId="4F5AB7CD" w:rsidR="00625232" w:rsidRDefault="007F2E43" w:rsidP="00625232">
      <w:pPr>
        <w:pStyle w:val="Bullets"/>
      </w:pPr>
      <w:r>
        <w:t>71% had government payments as their main source of income, and 12% had nil income</w:t>
      </w:r>
      <w:r w:rsidR="0056469F">
        <w:t>.</w:t>
      </w:r>
      <w:r>
        <w:t xml:space="preserve"> </w:t>
      </w:r>
    </w:p>
    <w:p w14:paraId="1D6803CF" w14:textId="664A1EEB" w:rsidR="001D2881" w:rsidRPr="001D2881" w:rsidRDefault="001D2881" w:rsidP="001D2881">
      <w:pPr>
        <w:pStyle w:val="Bullets"/>
      </w:pPr>
      <w:r>
        <w:t>1</w:t>
      </w:r>
      <w:r w:rsidR="00B24561">
        <w:t>7</w:t>
      </w:r>
      <w:r>
        <w:t>% were awaiting a government benefit when presenting</w:t>
      </w:r>
      <w:r w:rsidR="0056469F">
        <w:t>.</w:t>
      </w:r>
    </w:p>
    <w:p w14:paraId="3AADFA12" w14:textId="44910958" w:rsidR="004173A2" w:rsidRDefault="008B3729" w:rsidP="004173A2">
      <w:pPr>
        <w:pStyle w:val="Bullets"/>
      </w:pPr>
      <w:r>
        <w:t>4</w:t>
      </w:r>
      <w:r w:rsidR="00B24561">
        <w:t>6</w:t>
      </w:r>
      <w:r>
        <w:t>%</w:t>
      </w:r>
      <w:r w:rsidR="008B0F99">
        <w:t xml:space="preserve"> </w:t>
      </w:r>
      <w:r>
        <w:t>had</w:t>
      </w:r>
      <w:r w:rsidR="004173A2">
        <w:t xml:space="preserve"> previously</w:t>
      </w:r>
      <w:r>
        <w:t xml:space="preserve"> </w:t>
      </w:r>
      <w:r w:rsidR="000140EA">
        <w:t>been supported by</w:t>
      </w:r>
      <w:r>
        <w:t xml:space="preserve"> </w:t>
      </w:r>
      <w:r w:rsidR="00EF765C">
        <w:t>Housing Connect Front Door</w:t>
      </w:r>
      <w:r w:rsidR="0056469F">
        <w:t>.</w:t>
      </w:r>
    </w:p>
    <w:p w14:paraId="02BE496F" w14:textId="41228459" w:rsidR="00586A85" w:rsidRPr="006C3DF9" w:rsidRDefault="00586A85" w:rsidP="0056469F">
      <w:r>
        <w:t xml:space="preserve">These 16- and 17-year-olds presented for support unaccompanied, which means they sought housing assistance </w:t>
      </w:r>
      <w:r w:rsidRPr="006C3DF9">
        <w:t xml:space="preserve">without </w:t>
      </w:r>
      <w:r>
        <w:t xml:space="preserve">a </w:t>
      </w:r>
      <w:r w:rsidRPr="006C3DF9">
        <w:t>parent or</w:t>
      </w:r>
      <w:r>
        <w:t xml:space="preserve"> legal</w:t>
      </w:r>
      <w:r w:rsidRPr="006C3DF9">
        <w:t xml:space="preserve"> guardian</w:t>
      </w:r>
      <w:r>
        <w:t>. They were</w:t>
      </w:r>
      <w:r w:rsidRPr="006C3DF9" w:rsidDel="00A32F46">
        <w:t xml:space="preserve"> </w:t>
      </w:r>
      <w:r w:rsidRPr="006C3DF9">
        <w:t>couch</w:t>
      </w:r>
      <w:r>
        <w:t xml:space="preserve"> </w:t>
      </w:r>
      <w:r w:rsidRPr="006C3DF9">
        <w:t>surfing, living with other family members (siblings, cousins, grandparents)</w:t>
      </w:r>
      <w:r>
        <w:t xml:space="preserve"> or friends or partners</w:t>
      </w:r>
      <w:r w:rsidRPr="006C3DF9">
        <w:t xml:space="preserve">, </w:t>
      </w:r>
      <w:r>
        <w:t xml:space="preserve">or </w:t>
      </w:r>
      <w:r w:rsidRPr="006C3DF9">
        <w:t>staying in dwellings such as unpowered caravans</w:t>
      </w:r>
      <w:r>
        <w:t>.</w:t>
      </w:r>
    </w:p>
    <w:p w14:paraId="67B5738D" w14:textId="79E435BE" w:rsidR="00586A85" w:rsidRDefault="00586A85" w:rsidP="0056469F">
      <w:r w:rsidRPr="006C3DF9">
        <w:t>Reasons young people were unaccompanied include</w:t>
      </w:r>
      <w:r>
        <w:t xml:space="preserve">d </w:t>
      </w:r>
      <w:r w:rsidRPr="006C3DF9">
        <w:t xml:space="preserve">no longer being able to live with parents due to conflict, </w:t>
      </w:r>
      <w:r>
        <w:t xml:space="preserve">relationship breakdown, </w:t>
      </w:r>
      <w:r w:rsidRPr="006C3DF9">
        <w:t xml:space="preserve">domestic and family violence, </w:t>
      </w:r>
      <w:r>
        <w:t xml:space="preserve">and </w:t>
      </w:r>
      <w:r w:rsidRPr="006C3DF9">
        <w:t xml:space="preserve">parental alcohol </w:t>
      </w:r>
      <w:r>
        <w:t>and/</w:t>
      </w:r>
      <w:r w:rsidRPr="006C3DF9">
        <w:t>or drug use</w:t>
      </w:r>
      <w:r>
        <w:t xml:space="preserve"> in the home</w:t>
      </w:r>
      <w:r w:rsidRPr="006C3DF9">
        <w:t xml:space="preserve">. Some young people were transitioning from </w:t>
      </w:r>
      <w:r>
        <w:t>out-of-home</w:t>
      </w:r>
      <w:r w:rsidRPr="006C3DF9">
        <w:t xml:space="preserve"> care. </w:t>
      </w:r>
    </w:p>
    <w:p w14:paraId="5794010C" w14:textId="77777777" w:rsidR="00586A85" w:rsidRPr="00586A85" w:rsidRDefault="00586A85" w:rsidP="00586A85">
      <w:pPr>
        <w:pStyle w:val="BodyText"/>
      </w:pPr>
    </w:p>
    <w:p w14:paraId="2A021009" w14:textId="63F8FFAD" w:rsidR="00586A85" w:rsidRPr="00586A85" w:rsidRDefault="00586A85" w:rsidP="00586A85">
      <w:pPr>
        <w:pStyle w:val="IntenseQuote"/>
      </w:pPr>
      <w:r w:rsidRPr="00201CC1">
        <w:t>The wellbeing needs of unaccompanied children and young people are developmentally intense. They require stability, including extended duration of accommodation provision and relational connection</w:t>
      </w:r>
      <w:r>
        <w:t>…</w:t>
      </w:r>
    </w:p>
    <w:p w14:paraId="37F56D33" w14:textId="77777777" w:rsidR="00586A85" w:rsidRPr="005E1425" w:rsidRDefault="00586A85" w:rsidP="00586A85">
      <w:pPr>
        <w:pStyle w:val="IntenseQuote"/>
      </w:pPr>
      <w:r w:rsidRPr="005E1425">
        <w:t>Participants emphasised the need for extended stays in homely environments that offer shelter, along with holistic, relational care including: facilitated access to specialist and generalist health and mental health services</w:t>
      </w:r>
      <w:r>
        <w:t xml:space="preserve">, </w:t>
      </w:r>
      <w:r w:rsidRPr="005E1425">
        <w:t>support to participate in education and employment</w:t>
      </w:r>
      <w:r>
        <w:t xml:space="preserve">, </w:t>
      </w:r>
      <w:r w:rsidRPr="005E1425">
        <w:t>life skills training</w:t>
      </w:r>
      <w:r>
        <w:t xml:space="preserve">, </w:t>
      </w:r>
      <w:r w:rsidRPr="005E1425">
        <w:t>assistance in navigating complex welfare systems such as Centrelink, child protection and the National Disability Insurance Scheme.</w:t>
      </w:r>
      <w:r>
        <w:rPr>
          <w:rStyle w:val="FootnoteReference"/>
          <w:lang w:val="en-US"/>
        </w:rPr>
        <w:footnoteReference w:id="15"/>
      </w:r>
    </w:p>
    <w:p w14:paraId="63C474B6" w14:textId="77777777" w:rsidR="00586A85" w:rsidRDefault="00586A85" w:rsidP="0084479D"/>
    <w:p w14:paraId="0FDED77F" w14:textId="77777777" w:rsidR="0084479D" w:rsidRDefault="0084479D">
      <w:pPr>
        <w:widowControl/>
        <w:autoSpaceDE/>
        <w:autoSpaceDN/>
        <w:spacing w:before="0" w:after="160" w:line="278" w:lineRule="auto"/>
      </w:pPr>
      <w:r>
        <w:br w:type="page"/>
      </w:r>
    </w:p>
    <w:p w14:paraId="36B6944E" w14:textId="65EB5312" w:rsidR="00AE2D63" w:rsidRPr="0084479D" w:rsidRDefault="00FE53FE" w:rsidP="0084479D">
      <w:pPr>
        <w:pStyle w:val="Heading2"/>
        <w:rPr>
          <w:sz w:val="32"/>
          <w:szCs w:val="32"/>
        </w:rPr>
      </w:pPr>
      <w:r>
        <w:lastRenderedPageBreak/>
        <w:t>Reasons young people sought</w:t>
      </w:r>
      <w:r w:rsidR="00AE2D63">
        <w:t xml:space="preserve"> support</w:t>
      </w:r>
    </w:p>
    <w:p w14:paraId="34A0FF88" w14:textId="56DBE443" w:rsidR="00716B9D" w:rsidRDefault="00810CCC" w:rsidP="00FE7C81">
      <w:pPr>
        <w:widowControl/>
        <w:adjustRightInd w:val="0"/>
        <w:spacing w:before="0"/>
        <w:rPr>
          <w:rFonts w:eastAsia="Times New Roman" w:cs="Calibri"/>
          <w:szCs w:val="24"/>
          <w:lang w:val="en-AU"/>
        </w:rPr>
      </w:pPr>
      <w:r>
        <w:rPr>
          <w:rFonts w:eastAsia="Times New Roman" w:cs="Calibri"/>
          <w:szCs w:val="24"/>
          <w:lang w:val="en-AU"/>
        </w:rPr>
        <w:t xml:space="preserve">The main reasons </w:t>
      </w:r>
      <w:r w:rsidR="00962D0F">
        <w:rPr>
          <w:rFonts w:eastAsia="Times New Roman" w:cs="Calibri"/>
          <w:szCs w:val="24"/>
          <w:lang w:val="en-AU"/>
        </w:rPr>
        <w:t>young people sought</w:t>
      </w:r>
      <w:r>
        <w:rPr>
          <w:rFonts w:eastAsia="Times New Roman" w:cs="Calibri"/>
          <w:szCs w:val="24"/>
          <w:lang w:val="en-AU"/>
        </w:rPr>
        <w:t xml:space="preserve"> support </w:t>
      </w:r>
      <w:r w:rsidR="00D96958">
        <w:rPr>
          <w:rFonts w:eastAsia="Times New Roman" w:cs="Calibri"/>
          <w:szCs w:val="24"/>
          <w:lang w:val="en-AU"/>
        </w:rPr>
        <w:t>were housing crisis, inadequate or inappropriate dwelling conditions, and relationship/family breakdown</w:t>
      </w:r>
      <w:r w:rsidR="00716B9D">
        <w:rPr>
          <w:rFonts w:eastAsia="Times New Roman" w:cs="Calibri"/>
          <w:szCs w:val="24"/>
          <w:lang w:val="en-AU"/>
        </w:rPr>
        <w:t>.</w:t>
      </w:r>
    </w:p>
    <w:p w14:paraId="0121ECC3" w14:textId="2CD822D6" w:rsidR="00716B9D" w:rsidRPr="00716B9D" w:rsidRDefault="00716B9D" w:rsidP="00FE7C81">
      <w:pPr>
        <w:widowControl/>
        <w:adjustRightInd w:val="0"/>
        <w:spacing w:before="0"/>
        <w:rPr>
          <w:rFonts w:eastAsia="Times New Roman" w:cs="Calibri"/>
          <w:b/>
          <w:bCs/>
          <w:szCs w:val="24"/>
          <w:lang w:val="en-AU"/>
        </w:rPr>
      </w:pPr>
      <w:r w:rsidRPr="00716B9D">
        <w:rPr>
          <w:rFonts w:eastAsia="Times New Roman" w:cs="Calibri"/>
          <w:b/>
          <w:bCs/>
          <w:szCs w:val="24"/>
          <w:lang w:val="en-AU"/>
        </w:rPr>
        <w:t xml:space="preserve">Figure 4: </w:t>
      </w:r>
    </w:p>
    <w:p w14:paraId="5DBDF432" w14:textId="29E105D1" w:rsidR="00FE7C81" w:rsidRPr="00534FE9" w:rsidRDefault="007E1FA7" w:rsidP="00534FE9">
      <w:pPr>
        <w:widowControl/>
        <w:adjustRightInd w:val="0"/>
        <w:spacing w:before="0"/>
        <w:rPr>
          <w:rFonts w:eastAsia="Times New Roman" w:cs="Calibri"/>
          <w:szCs w:val="24"/>
          <w:lang w:val="en-AU"/>
        </w:rPr>
      </w:pPr>
      <w:r>
        <w:rPr>
          <w:noProof/>
          <w14:ligatures w14:val="standardContextual"/>
        </w:rPr>
        <w:drawing>
          <wp:inline distT="0" distB="0" distL="0" distR="0" wp14:anchorId="38A8F1C0" wp14:editId="56521AF7">
            <wp:extent cx="6191250" cy="3181350"/>
            <wp:effectExtent l="0" t="0" r="0" b="0"/>
            <wp:docPr id="579615414" name="Chart 1" descr="Bar graph showing the main reason for young people aged 16-17 sought support from Housing Connect Front Door. From largest to smallest, housing crisis e.g. eviction (25 young people), inappropriate or inadequate dwelling conditions (16), relationship/family breakdown (13), time out from family/other situation (7), domestic and family violence (6), transition from foster care and child safety residential care (5), housing affordability stress (4), previous accommodation ended (4), other (4), lack of family/community support (3), mental health issues 1), transition from other care arragements (1), unable to return home due to environmental reasons (1).">
              <a:extLst xmlns:a="http://schemas.openxmlformats.org/drawingml/2006/main">
                <a:ext uri="{FF2B5EF4-FFF2-40B4-BE49-F238E27FC236}">
                  <a16:creationId xmlns:a16="http://schemas.microsoft.com/office/drawing/2014/main" id="{E51B6209-CFBC-F9FD-2DD6-F07D5C21C9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B54359" w14:textId="6CBC44C0" w:rsidR="00AE2D63" w:rsidRDefault="00AE2D63" w:rsidP="00BD09CE">
      <w:pPr>
        <w:pStyle w:val="BodyText"/>
      </w:pPr>
      <w:r>
        <w:t>Financial difficulties was a common reason for seeking support</w:t>
      </w:r>
      <w:r w:rsidR="00D97969">
        <w:t xml:space="preserve"> (listed by 14 young people)</w:t>
      </w:r>
      <w:r>
        <w:t>,</w:t>
      </w:r>
      <w:r w:rsidR="00534FE9">
        <w:t xml:space="preserve"> however</w:t>
      </w:r>
      <w:r>
        <w:t xml:space="preserve"> no</w:t>
      </w:r>
      <w:r w:rsidR="00E0102B">
        <w:t xml:space="preserve"> </w:t>
      </w:r>
      <w:r>
        <w:t xml:space="preserve">young people listed it as their main reason. </w:t>
      </w:r>
    </w:p>
    <w:p w14:paraId="2E55A9E6" w14:textId="77777777" w:rsidR="0084479D" w:rsidRDefault="0084479D" w:rsidP="0084479D">
      <w:pPr>
        <w:pStyle w:val="Heading2"/>
      </w:pPr>
      <w:r>
        <w:t>Regional prevalence</w:t>
      </w:r>
    </w:p>
    <w:p w14:paraId="2763A0D1" w14:textId="77777777" w:rsidR="0084479D" w:rsidRDefault="0084479D" w:rsidP="0084479D">
      <w:pPr>
        <w:widowControl/>
        <w:adjustRightInd w:val="0"/>
        <w:spacing w:before="0"/>
      </w:pPr>
      <w:r>
        <w:t xml:space="preserve">The North West region had the highest prevalence of young people 16-17 years old who presented to Housing Connect Front Door in the March quarter. </w:t>
      </w:r>
    </w:p>
    <w:p w14:paraId="341D379C" w14:textId="77777777" w:rsidR="0084479D" w:rsidRPr="004B2481" w:rsidRDefault="0084479D" w:rsidP="0084479D">
      <w:pPr>
        <w:widowControl/>
        <w:adjustRightInd w:val="0"/>
        <w:spacing w:before="0"/>
        <w:rPr>
          <w:b/>
          <w:bCs/>
        </w:rPr>
      </w:pPr>
      <w:r w:rsidRPr="004B2481">
        <w:rPr>
          <w:b/>
          <w:bCs/>
        </w:rPr>
        <w:t xml:space="preserve">Figure 3: </w:t>
      </w:r>
    </w:p>
    <w:p w14:paraId="5FEB32A9" w14:textId="49A2FEC0" w:rsidR="0084479D" w:rsidRPr="00D97969" w:rsidRDefault="00F13F82" w:rsidP="0084479D">
      <w:pPr>
        <w:widowControl/>
        <w:adjustRightInd w:val="0"/>
        <w:spacing w:before="0"/>
      </w:pPr>
      <w:r>
        <w:rPr>
          <w:noProof/>
          <w14:ligatures w14:val="standardContextual"/>
        </w:rPr>
        <w:drawing>
          <wp:inline distT="0" distB="0" distL="0" distR="0" wp14:anchorId="0D13E9B7" wp14:editId="0155A0E3">
            <wp:extent cx="4572000" cy="2743200"/>
            <wp:effectExtent l="0" t="0" r="0" b="0"/>
            <wp:docPr id="2098863189" name="Chart 1" descr="Column graph showing Housing Connect Front Door clients aged 16-17 in the March quarter 2026, per 10,000 population. The columns are North West, 1.75 per 10,000 population, South, 1.70, and North, 1.15.">
              <a:extLst xmlns:a="http://schemas.openxmlformats.org/drawingml/2006/main">
                <a:ext uri="{FF2B5EF4-FFF2-40B4-BE49-F238E27FC236}">
                  <a16:creationId xmlns:a16="http://schemas.microsoft.com/office/drawing/2014/main" id="{9AD4B1ED-20AA-54EB-173F-F8E8264C7B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4DFE8D" w14:textId="0777106A" w:rsidR="00FE7C81" w:rsidRDefault="007B66ED" w:rsidP="00CE4F12">
      <w:pPr>
        <w:pStyle w:val="Heading2"/>
      </w:pPr>
      <w:r>
        <w:lastRenderedPageBreak/>
        <w:t xml:space="preserve">Housing options for young people </w:t>
      </w:r>
    </w:p>
    <w:p w14:paraId="55FBF6A9" w14:textId="61736242" w:rsidR="00D96958" w:rsidRPr="00D96958" w:rsidRDefault="00D96958" w:rsidP="00D96958">
      <w:pPr>
        <w:widowControl/>
        <w:autoSpaceDE/>
        <w:autoSpaceDN/>
        <w:spacing w:before="0" w:after="160" w:line="259" w:lineRule="auto"/>
      </w:pPr>
      <w:r w:rsidRPr="00D96958">
        <w:t xml:space="preserve">Accommodation options for young people presenting to Housing Connect Front Door include youth crisis shelters, supported accommodation facilities, social housing and private rentals. </w:t>
      </w:r>
    </w:p>
    <w:p w14:paraId="280E4FB2" w14:textId="1D83C78B" w:rsidR="00712D4C" w:rsidRDefault="0B7C4B64" w:rsidP="00712D4C">
      <w:pPr>
        <w:pStyle w:val="Heading3"/>
      </w:pPr>
      <w:r>
        <w:t xml:space="preserve">Crisis accommodation </w:t>
      </w:r>
    </w:p>
    <w:p w14:paraId="4F1F8816" w14:textId="2BB7D128" w:rsidR="00712D4C" w:rsidRDefault="0B7C4B64" w:rsidP="20A42E4E">
      <w:pPr>
        <w:widowControl/>
        <w:spacing w:before="0" w:after="160" w:line="259" w:lineRule="auto"/>
      </w:pPr>
      <w:r>
        <w:t xml:space="preserve">There are a range of crisis accommodation facilities around Tasmania, including youth shelters which may be single or mixed gender. Capacity varies by region and can be limited, especially due to the lack of longer-term options for young people to transition into. </w:t>
      </w:r>
    </w:p>
    <w:p w14:paraId="4FCCC111" w14:textId="1C6D3042" w:rsidR="00712D4C" w:rsidRDefault="0B7C4B64" w:rsidP="20A42E4E">
      <w:pPr>
        <w:widowControl/>
        <w:spacing w:before="0" w:after="160" w:line="259" w:lineRule="auto"/>
      </w:pPr>
      <w:r>
        <w:t xml:space="preserve">If a young person presents to Housing Connect Front Door, they will be supported to apply for all available and appropriate housing options. If the young person cannot get into crisis accommodation or is unwilling to go due to previous experiences or other reasons, their immediate options may be limited to staying with family, friends or associates or sleeping rough. </w:t>
      </w:r>
    </w:p>
    <w:p w14:paraId="69A74C93" w14:textId="1B20521D" w:rsidR="00712D4C" w:rsidRDefault="0B7C4B64" w:rsidP="20A42E4E">
      <w:pPr>
        <w:widowControl/>
        <w:spacing w:before="0" w:after="160" w:line="259" w:lineRule="auto"/>
      </w:pPr>
      <w:r>
        <w:t>Crisis and supported accommodation options may be conditional on adherence to house rules around perceived risky behaviours and may require unaccompanied young people to reach a high threshold of ‘housing readiness’.</w:t>
      </w:r>
      <w:r w:rsidR="00712D4C" w:rsidRPr="20A42E4E">
        <w:rPr>
          <w:rStyle w:val="FootnoteReference"/>
          <w:lang w:val="en-US"/>
        </w:rPr>
        <w:footnoteReference w:id="16"/>
      </w:r>
    </w:p>
    <w:p w14:paraId="5ED8F82C" w14:textId="5F1C1CAD" w:rsidR="00712D4C" w:rsidRDefault="0B7C4B64" w:rsidP="20A42E4E">
      <w:pPr>
        <w:pStyle w:val="IntenseQuote"/>
        <w:rPr>
          <w:lang w:val="en-US"/>
        </w:rPr>
      </w:pPr>
      <w:r w:rsidRPr="20A42E4E">
        <w:rPr>
          <w:lang w:val="en-US"/>
        </w:rPr>
        <w:t>Both young people and practitioners gave clear, corresponding accounts of how unaccompanied children and young people with these more complex needs become ‘stuck’ in cycles of crisis and medium-term service provision, where: exits home are not safe or well-supported, exits into transitional supported accommodation services, social housing or private rental remain impossible due to young age, low income, and higher support needs.</w:t>
      </w:r>
      <w:r w:rsidR="00712D4C" w:rsidRPr="20A42E4E">
        <w:rPr>
          <w:rStyle w:val="FootnoteReference"/>
          <w:lang w:val="en-US"/>
        </w:rPr>
        <w:footnoteReference w:id="17"/>
      </w:r>
      <w:r w:rsidRPr="20A42E4E">
        <w:rPr>
          <w:lang w:val="en-US"/>
        </w:rPr>
        <w:t xml:space="preserve"> </w:t>
      </w:r>
    </w:p>
    <w:p w14:paraId="152BB3AB" w14:textId="1D3FCEE1" w:rsidR="00712D4C" w:rsidRDefault="00712D4C" w:rsidP="00712D4C">
      <w:pPr>
        <w:pStyle w:val="Heading3"/>
      </w:pPr>
      <w:r>
        <w:t xml:space="preserve">Social housing </w:t>
      </w:r>
    </w:p>
    <w:p w14:paraId="6B1F5D05" w14:textId="21FF8BF2" w:rsidR="00D96958" w:rsidRDefault="00D96958" w:rsidP="00D96958">
      <w:pPr>
        <w:widowControl/>
        <w:autoSpaceDE/>
        <w:autoSpaceDN/>
        <w:spacing w:before="0" w:after="160" w:line="259" w:lineRule="auto"/>
      </w:pPr>
      <w:r w:rsidRPr="00D96958">
        <w:t>People over 16</w:t>
      </w:r>
      <w:r w:rsidRPr="00D96958" w:rsidDel="00CA4A9E">
        <w:t xml:space="preserve"> </w:t>
      </w:r>
      <w:r w:rsidR="00CA4A9E">
        <w:t xml:space="preserve">may </w:t>
      </w:r>
      <w:r w:rsidRPr="00D96958">
        <w:t>be eligible for social housing,</w:t>
      </w:r>
      <w:r w:rsidRPr="00D96958">
        <w:rPr>
          <w:rStyle w:val="FootnoteReference"/>
        </w:rPr>
        <w:footnoteReference w:id="18"/>
      </w:r>
      <w:r w:rsidRPr="00D96958">
        <w:t xml:space="preserve"> however there can be barriers to </w:t>
      </w:r>
      <w:r w:rsidR="006000FD">
        <w:t>access</w:t>
      </w:r>
      <w:r w:rsidR="00602C93">
        <w:t>,</w:t>
      </w:r>
      <w:r w:rsidRPr="00D96958">
        <w:t xml:space="preserve"> including long wait</w:t>
      </w:r>
      <w:r w:rsidR="00024BB5">
        <w:t xml:space="preserve">ing times </w:t>
      </w:r>
      <w:r w:rsidRPr="00D96958">
        <w:t>and</w:t>
      </w:r>
      <w:r w:rsidR="006000FD">
        <w:t xml:space="preserve"> the young person’s</w:t>
      </w:r>
      <w:r w:rsidRPr="00D96958">
        <w:t xml:space="preserve"> limited income</w:t>
      </w:r>
      <w:r w:rsidR="00485B00">
        <w:t xml:space="preserve"> and earning capacity</w:t>
      </w:r>
      <w:r w:rsidRPr="00D96958">
        <w:t>. To be able to pay rent in social housing young people require</w:t>
      </w:r>
      <w:r w:rsidR="00485B00">
        <w:t xml:space="preserve"> sufficient income, such as the</w:t>
      </w:r>
      <w:r w:rsidRPr="00D96958">
        <w:t xml:space="preserve"> ‘</w:t>
      </w:r>
      <w:r w:rsidR="006000FD">
        <w:t>independent</w:t>
      </w:r>
      <w:r w:rsidRPr="00D96958">
        <w:t>’ rate of Centrelink payments.</w:t>
      </w:r>
      <w:r w:rsidR="006000FD">
        <w:t xml:space="preserve"> The independent rate is determined based on the young person being ‘unable to live at home due to extreme circumstances’.</w:t>
      </w:r>
      <w:r w:rsidR="006000FD">
        <w:rPr>
          <w:rStyle w:val="FootnoteReference"/>
        </w:rPr>
        <w:footnoteReference w:id="19"/>
      </w:r>
      <w:r w:rsidR="006000FD">
        <w:t xml:space="preserve"> </w:t>
      </w:r>
      <w:r w:rsidRPr="00D96958">
        <w:t>Some young people may still be classed as ‘dependent’ by Services Australia</w:t>
      </w:r>
      <w:r w:rsidR="00485B00">
        <w:t xml:space="preserve"> </w:t>
      </w:r>
      <w:r w:rsidRPr="00D96958">
        <w:t xml:space="preserve">despite their living </w:t>
      </w:r>
      <w:r w:rsidR="00602C93" w:rsidRPr="00D96958">
        <w:t>circumstances</w:t>
      </w:r>
      <w:r w:rsidR="00602C93">
        <w:t xml:space="preserve"> and</w:t>
      </w:r>
      <w:r w:rsidR="00485B00">
        <w:t xml:space="preserve"> </w:t>
      </w:r>
      <w:r w:rsidR="00602C93">
        <w:t xml:space="preserve">can </w:t>
      </w:r>
      <w:r w:rsidR="006000FD">
        <w:t>have difficulty changing their assessed rate</w:t>
      </w:r>
      <w:r w:rsidR="00602C93">
        <w:t xml:space="preserve">. </w:t>
      </w:r>
    </w:p>
    <w:p w14:paraId="059077CB" w14:textId="77777777" w:rsidR="0056469F" w:rsidRDefault="0056469F">
      <w:pPr>
        <w:widowControl/>
        <w:autoSpaceDE/>
        <w:autoSpaceDN/>
        <w:spacing w:before="0" w:after="160" w:line="278" w:lineRule="auto"/>
        <w:rPr>
          <w:rFonts w:ascii="Avenir Next Demi Bold" w:hAnsi="Avenir Next Demi Bold"/>
          <w:b/>
          <w:sz w:val="32"/>
          <w:szCs w:val="32"/>
        </w:rPr>
      </w:pPr>
      <w:r>
        <w:br w:type="page"/>
      </w:r>
    </w:p>
    <w:p w14:paraId="4BA214BA" w14:textId="0236A625" w:rsidR="00712D4C" w:rsidRPr="00D96958" w:rsidRDefault="00712D4C" w:rsidP="00712D4C">
      <w:pPr>
        <w:pStyle w:val="Heading3"/>
      </w:pPr>
      <w:r>
        <w:lastRenderedPageBreak/>
        <w:t>Private rentals</w:t>
      </w:r>
    </w:p>
    <w:p w14:paraId="24D04EB1" w14:textId="7B31D769" w:rsidR="00D96958" w:rsidRDefault="00D96958" w:rsidP="00FE7C81">
      <w:pPr>
        <w:widowControl/>
        <w:autoSpaceDE/>
        <w:autoSpaceDN/>
        <w:spacing w:before="0" w:after="160" w:line="259" w:lineRule="auto"/>
      </w:pPr>
      <w:r>
        <w:t>P</w:t>
      </w:r>
      <w:r w:rsidR="004D7436" w:rsidRPr="00B63AE4">
        <w:t>rivate rentals are unaffordable for people on income support payments. Anglicare Tasmania’s 2026 Rental Affordability Snapshot found that 0% of properties were affordable for a person on Youth Allowance.</w:t>
      </w:r>
      <w:r w:rsidR="004D7436" w:rsidRPr="00B63AE4">
        <w:rPr>
          <w:rStyle w:val="FootnoteReference"/>
        </w:rPr>
        <w:footnoteReference w:id="20"/>
      </w:r>
      <w:r w:rsidR="004D7436" w:rsidRPr="00B63AE4">
        <w:t xml:space="preserve"> This includes share</w:t>
      </w:r>
      <w:r w:rsidR="00F13F82">
        <w:t xml:space="preserve"> </w:t>
      </w:r>
      <w:r w:rsidR="004D7436" w:rsidRPr="00B63AE4">
        <w:t xml:space="preserve">house listings. </w:t>
      </w:r>
      <w:r w:rsidR="008C32E6" w:rsidRPr="00B63AE4">
        <w:t xml:space="preserve">Even for a single person earning minimum wage, </w:t>
      </w:r>
      <w:r w:rsidR="00985884">
        <w:t xml:space="preserve">the average </w:t>
      </w:r>
      <w:r w:rsidR="008C32E6" w:rsidRPr="00B63AE4">
        <w:t>room in a share</w:t>
      </w:r>
      <w:r w:rsidR="00F13F82">
        <w:t xml:space="preserve"> </w:t>
      </w:r>
      <w:r w:rsidR="008C32E6" w:rsidRPr="00B63AE4">
        <w:t>house is unaffordable.</w:t>
      </w:r>
      <w:r w:rsidR="005B6563">
        <w:rPr>
          <w:rStyle w:val="FootnoteReference"/>
        </w:rPr>
        <w:footnoteReference w:id="21"/>
      </w:r>
      <w:r w:rsidR="008C32E6" w:rsidRPr="00B63AE4">
        <w:t xml:space="preserve"> </w:t>
      </w:r>
      <w:r w:rsidR="005B6563">
        <w:t xml:space="preserve">Young people may also be overlooked by landlords in favour of higher-earning applicants. </w:t>
      </w:r>
      <w:r w:rsidR="0029725B" w:rsidRPr="00B63AE4">
        <w:t xml:space="preserve">If they </w:t>
      </w:r>
      <w:r w:rsidR="00B63AE4" w:rsidRPr="00B63AE4">
        <w:t>can</w:t>
      </w:r>
      <w:r w:rsidR="0029725B" w:rsidRPr="00B63AE4">
        <w:t xml:space="preserve"> secure a rental, they </w:t>
      </w:r>
      <w:r w:rsidR="005B6563">
        <w:t xml:space="preserve">may </w:t>
      </w:r>
      <w:r w:rsidR="0029725B" w:rsidRPr="00B63AE4">
        <w:t xml:space="preserve">not have enough left over for other essentials, like food, transport and utilities. </w:t>
      </w:r>
    </w:p>
    <w:p w14:paraId="07ADDA41" w14:textId="5F4356D7" w:rsidR="000B5FF3" w:rsidRDefault="000B5FF3" w:rsidP="00FE7C81">
      <w:pPr>
        <w:widowControl/>
        <w:autoSpaceDE/>
        <w:autoSpaceDN/>
        <w:spacing w:before="0" w:after="160" w:line="259" w:lineRule="auto"/>
      </w:pPr>
      <w:r>
        <w:t>The ongoing lack of affordable private rental accommodation leads to increasing numbers of people applying for social housing and experiencing homelessness.</w:t>
      </w:r>
    </w:p>
    <w:p w14:paraId="7E4880D5" w14:textId="02C960F1" w:rsidR="00572422" w:rsidRPr="00572422" w:rsidRDefault="00572422" w:rsidP="00FE7C81">
      <w:pPr>
        <w:widowControl/>
        <w:autoSpaceDE/>
        <w:autoSpaceDN/>
        <w:spacing w:before="0" w:after="160" w:line="259" w:lineRule="auto"/>
        <w:rPr>
          <w:lang w:val="en-US"/>
        </w:rPr>
      </w:pPr>
      <w:r w:rsidRPr="000E3093">
        <w:rPr>
          <w:lang w:val="en-US"/>
        </w:rPr>
        <w:t>The Tasmanian Government is introducing a levy on short</w:t>
      </w:r>
      <w:r w:rsidR="006E09F4">
        <w:rPr>
          <w:lang w:val="en-US"/>
        </w:rPr>
        <w:t>-</w:t>
      </w:r>
      <w:r w:rsidRPr="000E3093">
        <w:rPr>
          <w:lang w:val="en-US"/>
        </w:rPr>
        <w:t>stay accommodation.</w:t>
      </w:r>
      <w:r>
        <w:rPr>
          <w:rStyle w:val="FootnoteReference"/>
          <w:lang w:val="en-US"/>
        </w:rPr>
        <w:footnoteReference w:id="22"/>
      </w:r>
      <w:r w:rsidRPr="000E3093">
        <w:rPr>
          <w:lang w:val="en-US"/>
        </w:rPr>
        <w:t xml:space="preserve"> When announcing the levy, Premier Rockliff stated ‘…there is no doubt that the increasing number of houses on the short stay market has reduced the availability of long stay rentals and contributed to higher rents.’</w:t>
      </w:r>
      <w:r>
        <w:rPr>
          <w:rStyle w:val="FootnoteReference"/>
          <w:lang w:val="en-US"/>
        </w:rPr>
        <w:footnoteReference w:id="23"/>
      </w:r>
    </w:p>
    <w:p w14:paraId="59F3CBBF" w14:textId="4191E11C" w:rsidR="000B5FF3" w:rsidRDefault="000B5FF3" w:rsidP="00FE7C81">
      <w:pPr>
        <w:widowControl/>
        <w:autoSpaceDE/>
        <w:autoSpaceDN/>
        <w:spacing w:before="0" w:after="160" w:line="259" w:lineRule="auto"/>
      </w:pPr>
      <w:r w:rsidRPr="00572422">
        <w:t>The Australian Housing and Urban Research Institute (AHURI)</w:t>
      </w:r>
      <w:r w:rsidR="00572422" w:rsidRPr="00572422">
        <w:t xml:space="preserve"> </w:t>
      </w:r>
      <w:r w:rsidRPr="00572422">
        <w:t>found that 63% of short</w:t>
      </w:r>
      <w:r w:rsidR="006E09F4">
        <w:t>-</w:t>
      </w:r>
      <w:r w:rsidRPr="00572422">
        <w:t>term rental accommodation in</w:t>
      </w:r>
      <w:r w:rsidR="008A01AD">
        <w:t xml:space="preserve"> the</w:t>
      </w:r>
      <w:r w:rsidRPr="00572422">
        <w:t xml:space="preserve"> Hobart </w:t>
      </w:r>
      <w:r w:rsidR="00572422" w:rsidRPr="00572422">
        <w:t>L</w:t>
      </w:r>
      <w:r w:rsidR="00A51456">
        <w:t xml:space="preserve">ocal </w:t>
      </w:r>
      <w:r w:rsidR="00572422" w:rsidRPr="00572422">
        <w:t>G</w:t>
      </w:r>
      <w:r w:rsidR="00A51456">
        <w:t xml:space="preserve">overnment </w:t>
      </w:r>
      <w:r w:rsidR="00572422" w:rsidRPr="00572422">
        <w:t>A</w:t>
      </w:r>
      <w:r w:rsidR="00A51456">
        <w:t>rea</w:t>
      </w:r>
      <w:r w:rsidR="00572422" w:rsidRPr="00572422">
        <w:t xml:space="preserve"> </w:t>
      </w:r>
      <w:r w:rsidRPr="00572422">
        <w:t>between 2018-20</w:t>
      </w:r>
      <w:r w:rsidR="005449A9">
        <w:t>2</w:t>
      </w:r>
      <w:r w:rsidRPr="00572422">
        <w:t xml:space="preserve">3 </w:t>
      </w:r>
      <w:r w:rsidR="00BD4A2F">
        <w:t>had previous history as long-term rental housing</w:t>
      </w:r>
      <w:r w:rsidRPr="00572422">
        <w:t>.</w:t>
      </w:r>
      <w:r>
        <w:t xml:space="preserve"> </w:t>
      </w:r>
      <w:r w:rsidR="000E2FA0">
        <w:t xml:space="preserve">They also found total listings </w:t>
      </w:r>
      <w:r w:rsidR="2884DAB9">
        <w:t>in Tasmania</w:t>
      </w:r>
      <w:r w:rsidR="000E2FA0">
        <w:t xml:space="preserve"> were up 5.4% in the first quarter of 2024 compared to the previous quarter.</w:t>
      </w:r>
      <w:r w:rsidR="000E2FA0">
        <w:rPr>
          <w:rStyle w:val="FootnoteReference"/>
        </w:rPr>
        <w:footnoteReference w:id="24"/>
      </w:r>
      <w:r w:rsidR="000E2FA0">
        <w:t xml:space="preserve"> </w:t>
      </w:r>
    </w:p>
    <w:p w14:paraId="0209966A" w14:textId="50910664" w:rsidR="00A92428" w:rsidRPr="00572422" w:rsidRDefault="00A92428" w:rsidP="00FE7C81">
      <w:pPr>
        <w:widowControl/>
        <w:autoSpaceDE/>
        <w:autoSpaceDN/>
        <w:spacing w:before="0" w:after="160" w:line="259" w:lineRule="auto"/>
        <w:rPr>
          <w:lang w:val="en-US"/>
        </w:rPr>
      </w:pPr>
      <w:r w:rsidRPr="00A92428">
        <w:rPr>
          <w:lang w:val="en-US"/>
        </w:rPr>
        <w:t xml:space="preserve">The short stay levy will produce a new stream of revenue for the Tasmanian Government. Anglicare Tasmania has called on the Government to </w:t>
      </w:r>
      <w:r w:rsidRPr="00572422">
        <w:rPr>
          <w:lang w:val="en-US"/>
        </w:rPr>
        <w:t>directly target the revenue towards Tasmanians least able to afford housing.</w:t>
      </w:r>
      <w:r>
        <w:rPr>
          <w:rStyle w:val="FootnoteReference"/>
          <w:lang w:val="en-US"/>
        </w:rPr>
        <w:footnoteReference w:id="25"/>
      </w:r>
      <w:r>
        <w:rPr>
          <w:lang w:val="en-US"/>
        </w:rPr>
        <w:t xml:space="preserve"> </w:t>
      </w:r>
    </w:p>
    <w:p w14:paraId="4304B54E" w14:textId="4C99B807" w:rsidR="00712D4C" w:rsidRDefault="00712D4C" w:rsidP="00712D4C">
      <w:pPr>
        <w:pStyle w:val="Heading3"/>
      </w:pPr>
      <w:r>
        <w:t>Supported accommodation</w:t>
      </w:r>
    </w:p>
    <w:p w14:paraId="35A21232" w14:textId="4D920924" w:rsidR="00602C93" w:rsidRDefault="00602C93" w:rsidP="00FE7C81">
      <w:pPr>
        <w:widowControl/>
        <w:autoSpaceDE/>
        <w:autoSpaceDN/>
        <w:spacing w:before="0" w:after="160" w:line="259" w:lineRule="auto"/>
      </w:pPr>
      <w:r>
        <w:t>Supported accommodation</w:t>
      </w:r>
      <w:r w:rsidR="00614BFD">
        <w:t xml:space="preserve"> for youth</w:t>
      </w:r>
      <w:r>
        <w:t xml:space="preserve"> includes the </w:t>
      </w:r>
      <w:r w:rsidR="00D96958">
        <w:t xml:space="preserve">Youth2Independence </w:t>
      </w:r>
      <w:r w:rsidR="00D634E3">
        <w:t xml:space="preserve">(Y2I) </w:t>
      </w:r>
      <w:r>
        <w:t>program, which comprises facilities</w:t>
      </w:r>
      <w:r w:rsidR="00126232">
        <w:t xml:space="preserve">, </w:t>
      </w:r>
      <w:r w:rsidR="00D96958">
        <w:t xml:space="preserve">cluster homes </w:t>
      </w:r>
      <w:r w:rsidR="00614BFD">
        <w:t xml:space="preserve">(higher needs) </w:t>
      </w:r>
      <w:r w:rsidR="00D96958">
        <w:t xml:space="preserve">and group homes </w:t>
      </w:r>
      <w:r w:rsidR="00614BFD">
        <w:t xml:space="preserve">(lower needs) </w:t>
      </w:r>
      <w:r w:rsidR="00126232">
        <w:t>funded by Homes Tasmania.</w:t>
      </w:r>
      <w:r w:rsidR="00126232">
        <w:rPr>
          <w:rStyle w:val="FootnoteReference"/>
        </w:rPr>
        <w:footnoteReference w:id="26"/>
      </w:r>
      <w:r w:rsidR="00126232">
        <w:t xml:space="preserve"> </w:t>
      </w:r>
      <w:r>
        <w:t>The Y2I program</w:t>
      </w:r>
      <w:r w:rsidR="00D634E3">
        <w:t xml:space="preserve"> </w:t>
      </w:r>
      <w:r>
        <w:t>provides accommodation and support</w:t>
      </w:r>
      <w:r w:rsidR="00D634E3">
        <w:t xml:space="preserve"> for young people aged 16-24 who are experiencing or at risk of homelessness.</w:t>
      </w:r>
      <w:r>
        <w:t xml:space="preserve"> Each pathway – cluster homes, group homes and facilities – can provide accommodation for up to 2 years.</w:t>
      </w:r>
      <w:r w:rsidR="00D634E3">
        <w:t xml:space="preserve"> </w:t>
      </w:r>
    </w:p>
    <w:p w14:paraId="3CDCDA76" w14:textId="050F30E1" w:rsidR="00187292" w:rsidRDefault="00D634E3" w:rsidP="00FE7C81">
      <w:pPr>
        <w:widowControl/>
        <w:autoSpaceDE/>
        <w:autoSpaceDN/>
        <w:spacing w:before="0" w:after="160" w:line="259" w:lineRule="auto"/>
      </w:pPr>
      <w:r>
        <w:t xml:space="preserve">A key requirement of the Y2I model is </w:t>
      </w:r>
      <w:r w:rsidR="00602C93">
        <w:t xml:space="preserve">that </w:t>
      </w:r>
      <w:r>
        <w:t xml:space="preserve">the young person </w:t>
      </w:r>
      <w:r w:rsidR="00602C93">
        <w:t>is</w:t>
      </w:r>
      <w:r>
        <w:t xml:space="preserve"> engaged in education or training, based on the Education First Youth Foyer model. </w:t>
      </w:r>
      <w:r w:rsidR="00187292" w:rsidRPr="00187292">
        <w:t>To be eligible</w:t>
      </w:r>
      <w:r w:rsidR="00187292">
        <w:t xml:space="preserve"> for a </w:t>
      </w:r>
      <w:r w:rsidR="00947403">
        <w:t>Y</w:t>
      </w:r>
      <w:r w:rsidR="00187292">
        <w:t>2</w:t>
      </w:r>
      <w:r w:rsidR="00A06367">
        <w:t>I</w:t>
      </w:r>
      <w:r w:rsidR="00187292" w:rsidRPr="00187292">
        <w:t xml:space="preserve">, a young person </w:t>
      </w:r>
      <w:r w:rsidR="00602C93">
        <w:t xml:space="preserve">is also required to </w:t>
      </w:r>
      <w:r w:rsidR="00187292" w:rsidRPr="00187292">
        <w:t>agree to ‘The Deal’</w:t>
      </w:r>
      <w:r w:rsidR="00602C93">
        <w:t xml:space="preserve">, which </w:t>
      </w:r>
      <w:r w:rsidR="00187292" w:rsidRPr="00187292">
        <w:t>is an agreement between the young person and the Y2I service provider, outlining the roles and responsibilities of both the young person and the service provider.</w:t>
      </w:r>
      <w:r w:rsidR="00187292">
        <w:rPr>
          <w:rStyle w:val="FootnoteReference"/>
        </w:rPr>
        <w:footnoteReference w:id="27"/>
      </w:r>
    </w:p>
    <w:p w14:paraId="0FA2BC86" w14:textId="77777777" w:rsidR="0056469F" w:rsidRDefault="0056469F">
      <w:pPr>
        <w:widowControl/>
        <w:autoSpaceDE/>
        <w:autoSpaceDN/>
        <w:spacing w:before="0" w:after="160" w:line="278" w:lineRule="auto"/>
      </w:pPr>
      <w:r>
        <w:br w:type="page"/>
      </w:r>
    </w:p>
    <w:p w14:paraId="3C4A61EF" w14:textId="526534AD" w:rsidR="00602C93" w:rsidRDefault="00602C93" w:rsidP="00FE7C81">
      <w:pPr>
        <w:widowControl/>
        <w:autoSpaceDE/>
        <w:autoSpaceDN/>
        <w:spacing w:before="0" w:after="160" w:line="259" w:lineRule="auto"/>
      </w:pPr>
      <w:r>
        <w:lastRenderedPageBreak/>
        <w:t>Y2Is are a vital housing option, providing important support to young people like Ellie, above. However</w:t>
      </w:r>
      <w:r w:rsidR="00614BFD">
        <w:t>,</w:t>
      </w:r>
      <w:r>
        <w:t xml:space="preserve"> there can be a gap for young people who have disengaged from education due to their circumstances and are not yet ready to re-engage. </w:t>
      </w:r>
      <w:r w:rsidR="004F522F">
        <w:t>Such c</w:t>
      </w:r>
      <w:r>
        <w:t xml:space="preserve">ircumstances </w:t>
      </w:r>
      <w:r w:rsidR="004F522F">
        <w:t xml:space="preserve">may </w:t>
      </w:r>
      <w:r>
        <w:t xml:space="preserve">include domestic and family violence, youth justice involvement, mental health issues and alcohol and drug use. </w:t>
      </w:r>
    </w:p>
    <w:p w14:paraId="37F17912" w14:textId="0C5515FD" w:rsidR="00614BFD" w:rsidRDefault="00614BFD" w:rsidP="00FE7C81">
      <w:pPr>
        <w:widowControl/>
        <w:autoSpaceDE/>
        <w:autoSpaceDN/>
        <w:spacing w:before="0" w:after="160" w:line="259" w:lineRule="auto"/>
      </w:pPr>
      <w:r>
        <w:t xml:space="preserve">As set out above, </w:t>
      </w:r>
      <w:r w:rsidR="00F274F1">
        <w:t xml:space="preserve">56% </w:t>
      </w:r>
      <w:r>
        <w:t xml:space="preserve">of the young people who presented to Housing Connect Front Door in the March quarter were engaged in education or training. </w:t>
      </w:r>
      <w:r w:rsidR="00381AFA">
        <w:t xml:space="preserve">A broader range of housing options and pathways for young people who are not yet ready to re-engage in education is required. </w:t>
      </w:r>
      <w:r w:rsidR="007E1FA7">
        <w:t xml:space="preserve">This could include </w:t>
      </w:r>
      <w:r w:rsidR="00E41469" w:rsidRPr="008D5C9E">
        <w:t xml:space="preserve">increased resourcing for </w:t>
      </w:r>
      <w:r w:rsidR="007E1FA7" w:rsidRPr="008D5C9E">
        <w:t xml:space="preserve">a broader range of Youth Foyers </w:t>
      </w:r>
      <w:r w:rsidR="00E41469" w:rsidRPr="008D5C9E">
        <w:t>and transitional housing</w:t>
      </w:r>
      <w:r w:rsidR="00E41469" w:rsidRPr="008D5C9E">
        <w:rPr>
          <w:color w:val="000000" w:themeColor="text1"/>
        </w:rPr>
        <w:t xml:space="preserve"> </w:t>
      </w:r>
      <w:r w:rsidR="007E1FA7">
        <w:t>that can cater to young people with additional needs who are not able to meet the readiness assessment for the Education First Youth Foyer model.</w:t>
      </w:r>
    </w:p>
    <w:p w14:paraId="535F6933" w14:textId="76758C62" w:rsidR="00D96958" w:rsidRPr="00614BFD" w:rsidRDefault="00FE7C81" w:rsidP="00B75E42">
      <w:pPr>
        <w:widowControl/>
        <w:autoSpaceDE/>
        <w:autoSpaceDN/>
        <w:spacing w:before="0" w:after="160" w:line="259" w:lineRule="auto"/>
      </w:pPr>
      <w:r>
        <w:br w:type="page"/>
      </w:r>
    </w:p>
    <w:p w14:paraId="488AD714" w14:textId="69266AA6" w:rsidR="009F3010" w:rsidRPr="00B82F87" w:rsidRDefault="009F3010">
      <w:pPr>
        <w:pStyle w:val="Heading1"/>
      </w:pPr>
      <w:r w:rsidRPr="00B82F87">
        <w:lastRenderedPageBreak/>
        <w:t>Recommendations</w:t>
      </w:r>
    </w:p>
    <w:p w14:paraId="116A0232" w14:textId="77777777" w:rsidR="009F3010" w:rsidRPr="00342035" w:rsidRDefault="009F3010">
      <w:pPr>
        <w:widowControl/>
        <w:autoSpaceDE/>
        <w:autoSpaceDN/>
        <w:spacing w:after="160" w:line="259" w:lineRule="auto"/>
        <w:rPr>
          <w:i/>
          <w:iCs/>
          <w:lang w:val="en-AU"/>
        </w:rPr>
      </w:pPr>
      <w:r w:rsidRPr="00342035">
        <w:rPr>
          <w:szCs w:val="24"/>
          <w:lang w:val="en-AU"/>
        </w:rPr>
        <w:t>Anglicare Tasmania continues to recommend that the Federal Government increases income support payments above the poverty line.</w:t>
      </w:r>
    </w:p>
    <w:p w14:paraId="2AE2E92B" w14:textId="77777777" w:rsidR="009F3010" w:rsidRPr="004D4476" w:rsidRDefault="009F3010">
      <w:pPr>
        <w:pStyle w:val="BodyText"/>
        <w:rPr>
          <w:b/>
          <w:bCs/>
        </w:rPr>
      </w:pPr>
      <w:r w:rsidRPr="004D4476">
        <w:rPr>
          <w:b/>
          <w:bCs/>
        </w:rPr>
        <w:t>Anglicare Tasmania recommends that the Tasmanian Government:</w:t>
      </w:r>
    </w:p>
    <w:p w14:paraId="07ED01D9" w14:textId="2316E0EE" w:rsidR="00B66CDB" w:rsidRPr="00B66CDB" w:rsidRDefault="004D4476" w:rsidP="00B66CDB">
      <w:pPr>
        <w:pStyle w:val="ListParagraph"/>
        <w:numPr>
          <w:ilvl w:val="0"/>
          <w:numId w:val="39"/>
        </w:numPr>
        <w:rPr>
          <w:lang w:val="en-US"/>
        </w:rPr>
      </w:pPr>
      <w:r>
        <w:rPr>
          <w:b/>
          <w:bCs/>
          <w:lang w:val="en-US"/>
        </w:rPr>
        <w:t>Di</w:t>
      </w:r>
      <w:r w:rsidR="00B66CDB" w:rsidRPr="00731A13">
        <w:rPr>
          <w:b/>
          <w:bCs/>
          <w:lang w:val="en-US"/>
        </w:rPr>
        <w:t>rectly target</w:t>
      </w:r>
      <w:r>
        <w:rPr>
          <w:b/>
          <w:bCs/>
          <w:lang w:val="en-US"/>
        </w:rPr>
        <w:t>s</w:t>
      </w:r>
      <w:r w:rsidR="00B66CDB" w:rsidRPr="00731A13">
        <w:rPr>
          <w:b/>
          <w:bCs/>
          <w:lang w:val="en-US"/>
        </w:rPr>
        <w:t xml:space="preserve"> the revenue from the short-stay levy towards Tasmanians least able to afford housing, better address</w:t>
      </w:r>
      <w:r>
        <w:rPr>
          <w:b/>
          <w:bCs/>
          <w:lang w:val="en-US"/>
        </w:rPr>
        <w:t>es</w:t>
      </w:r>
      <w:r w:rsidR="00B66CDB" w:rsidRPr="00731A13">
        <w:rPr>
          <w:b/>
          <w:bCs/>
          <w:lang w:val="en-US"/>
        </w:rPr>
        <w:t xml:space="preserve"> the negative spillover impacts of the short</w:t>
      </w:r>
      <w:r w:rsidR="00205893">
        <w:rPr>
          <w:b/>
          <w:bCs/>
          <w:lang w:val="en-US"/>
        </w:rPr>
        <w:t>-</w:t>
      </w:r>
      <w:r w:rsidR="00B66CDB" w:rsidRPr="00731A13">
        <w:rPr>
          <w:b/>
          <w:bCs/>
          <w:lang w:val="en-US"/>
        </w:rPr>
        <w:t>stay rental market on rental affordability, and avoid</w:t>
      </w:r>
      <w:r>
        <w:rPr>
          <w:b/>
          <w:bCs/>
          <w:lang w:val="en-US"/>
        </w:rPr>
        <w:t>s</w:t>
      </w:r>
      <w:r w:rsidR="00B66CDB" w:rsidRPr="00731A13">
        <w:rPr>
          <w:b/>
          <w:bCs/>
          <w:lang w:val="en-US"/>
        </w:rPr>
        <w:t xml:space="preserve"> further escalating house prices</w:t>
      </w:r>
      <w:r w:rsidR="00B66CDB" w:rsidRPr="00B66CDB">
        <w:rPr>
          <w:lang w:val="en-US"/>
        </w:rPr>
        <w:t xml:space="preserve"> by:</w:t>
      </w:r>
    </w:p>
    <w:p w14:paraId="2A6C9EE6" w14:textId="77777777" w:rsidR="00B66CDB" w:rsidRPr="00A92428" w:rsidRDefault="00B66CDB" w:rsidP="00B66CDB">
      <w:pPr>
        <w:widowControl/>
        <w:numPr>
          <w:ilvl w:val="1"/>
          <w:numId w:val="39"/>
        </w:numPr>
        <w:autoSpaceDE/>
        <w:autoSpaceDN/>
        <w:spacing w:before="0" w:after="160" w:line="259" w:lineRule="auto"/>
        <w:rPr>
          <w:lang w:val="en-US"/>
        </w:rPr>
      </w:pPr>
      <w:r w:rsidRPr="00A92428">
        <w:rPr>
          <w:lang w:val="en-US"/>
        </w:rPr>
        <w:t>directing 100% of the revenue from the levy to fund the construction of social housing and homelessness services</w:t>
      </w:r>
    </w:p>
    <w:p w14:paraId="2418B8D2" w14:textId="77777777" w:rsidR="00B66CDB" w:rsidRPr="00A92428" w:rsidRDefault="00B66CDB" w:rsidP="00B66CDB">
      <w:pPr>
        <w:widowControl/>
        <w:numPr>
          <w:ilvl w:val="1"/>
          <w:numId w:val="39"/>
        </w:numPr>
        <w:autoSpaceDE/>
        <w:autoSpaceDN/>
        <w:spacing w:before="0" w:after="160" w:line="259" w:lineRule="auto"/>
        <w:rPr>
          <w:lang w:val="en-US"/>
        </w:rPr>
      </w:pPr>
      <w:r w:rsidRPr="00A92428">
        <w:rPr>
          <w:lang w:val="en-US"/>
        </w:rPr>
        <w:t>imposing a levy of 7.5% (an increase from the proposed 5%)</w:t>
      </w:r>
    </w:p>
    <w:p w14:paraId="63770CE7" w14:textId="7AFE25B1" w:rsidR="00B66CDB" w:rsidRPr="00A92428" w:rsidRDefault="00B66CDB" w:rsidP="00B66CDB">
      <w:pPr>
        <w:widowControl/>
        <w:numPr>
          <w:ilvl w:val="1"/>
          <w:numId w:val="39"/>
        </w:numPr>
        <w:autoSpaceDE/>
        <w:autoSpaceDN/>
        <w:spacing w:before="0" w:after="160" w:line="259" w:lineRule="auto"/>
        <w:rPr>
          <w:lang w:val="en-US"/>
        </w:rPr>
      </w:pPr>
      <w:r w:rsidRPr="00A92428">
        <w:rPr>
          <w:lang w:val="en-US"/>
        </w:rPr>
        <w:t>ensuring that revenue from the levy does not assist the purchase of existing homes.</w:t>
      </w:r>
    </w:p>
    <w:p w14:paraId="5E17E884" w14:textId="73E3A3F5" w:rsidR="009F3010" w:rsidRPr="00AD16B0" w:rsidRDefault="0097488A" w:rsidP="009F3010">
      <w:pPr>
        <w:pStyle w:val="BodyText"/>
        <w:numPr>
          <w:ilvl w:val="0"/>
          <w:numId w:val="39"/>
        </w:numPr>
      </w:pPr>
      <w:r>
        <w:rPr>
          <w:b/>
        </w:rPr>
        <w:t xml:space="preserve">Funds delivery of more crisis and transitional accommodation and long-term homes, including a broader range of housing pathways for young people. </w:t>
      </w:r>
    </w:p>
    <w:p w14:paraId="083657B9" w14:textId="60313FAC" w:rsidR="009F3010" w:rsidRPr="00633EF7" w:rsidRDefault="009F3010" w:rsidP="009F3010">
      <w:pPr>
        <w:pStyle w:val="BodyText"/>
        <w:numPr>
          <w:ilvl w:val="0"/>
          <w:numId w:val="39"/>
        </w:numPr>
        <w:rPr>
          <w:b/>
        </w:rPr>
      </w:pPr>
      <w:r w:rsidRPr="00AD16B0">
        <w:rPr>
          <w:b/>
        </w:rPr>
        <w:t xml:space="preserve">Works with the Australian Government to scale up investment in long-term social housing. </w:t>
      </w:r>
    </w:p>
    <w:p w14:paraId="27CFF6AD" w14:textId="77777777" w:rsidR="009F3010" w:rsidRPr="00AD16B0" w:rsidRDefault="009F3010" w:rsidP="009F3010">
      <w:pPr>
        <w:pStyle w:val="BodyText"/>
        <w:numPr>
          <w:ilvl w:val="0"/>
          <w:numId w:val="39"/>
        </w:numPr>
      </w:pPr>
      <w:r w:rsidRPr="00AD16B0">
        <w:rPr>
          <w:b/>
        </w:rPr>
        <w:t>Commits to reducing the harmful impacts of waiting for social housing</w:t>
      </w:r>
      <w:r w:rsidRPr="00AD16B0">
        <w:t xml:space="preserve"> by:</w:t>
      </w:r>
    </w:p>
    <w:p w14:paraId="7037139A" w14:textId="5C64A364" w:rsidR="009F3010" w:rsidRPr="006B2AFF" w:rsidRDefault="009F3010" w:rsidP="000E09E3">
      <w:pPr>
        <w:pStyle w:val="ListParagraph"/>
        <w:numPr>
          <w:ilvl w:val="1"/>
          <w:numId w:val="39"/>
        </w:numPr>
        <w:rPr>
          <w:lang w:val="en-AU"/>
        </w:rPr>
      </w:pPr>
      <w:r w:rsidRPr="006B2AFF">
        <w:rPr>
          <w:lang w:val="en-AU"/>
        </w:rPr>
        <w:t>establishing targets in the next housing action plan for reducing the number of applicants on the social housing register and average waiting times for applicants, in consultation with stakeholders</w:t>
      </w:r>
    </w:p>
    <w:p w14:paraId="0BF7E319" w14:textId="77777777" w:rsidR="009F3010" w:rsidRPr="006B2AFF" w:rsidRDefault="009F3010" w:rsidP="000E09E3">
      <w:pPr>
        <w:pStyle w:val="ListParagraph"/>
        <w:numPr>
          <w:ilvl w:val="1"/>
          <w:numId w:val="39"/>
        </w:numPr>
        <w:rPr>
          <w:lang w:val="en-AU"/>
        </w:rPr>
      </w:pPr>
      <w:r w:rsidRPr="006B2AFF">
        <w:rPr>
          <w:lang w:val="en-AU"/>
        </w:rPr>
        <w:t>developing a process for providing applicants with realistic estimates of waiting times and the progress of their application.</w:t>
      </w:r>
    </w:p>
    <w:p w14:paraId="3FCFFC24" w14:textId="77777777" w:rsidR="009F3010" w:rsidRPr="00A83183" w:rsidRDefault="009F3010" w:rsidP="009F3010">
      <w:pPr>
        <w:pStyle w:val="BodyText"/>
        <w:numPr>
          <w:ilvl w:val="0"/>
          <w:numId w:val="39"/>
        </w:numPr>
      </w:pPr>
      <w:r w:rsidRPr="00A83183">
        <w:rPr>
          <w:b/>
        </w:rPr>
        <w:t>Improves reporting and measurement</w:t>
      </w:r>
      <w:r w:rsidRPr="00A83183">
        <w:t xml:space="preserve"> </w:t>
      </w:r>
      <w:r w:rsidRPr="00A83183">
        <w:rPr>
          <w:b/>
        </w:rPr>
        <w:t xml:space="preserve">of progress against the Tasmanian Housing Strategy </w:t>
      </w:r>
      <w:r w:rsidRPr="00A83183">
        <w:t>by:</w:t>
      </w:r>
    </w:p>
    <w:p w14:paraId="2908C48D" w14:textId="77777777" w:rsidR="009F3010" w:rsidRPr="006B2AFF" w:rsidRDefault="009F3010" w:rsidP="000E09E3">
      <w:pPr>
        <w:pStyle w:val="ListParagraph"/>
        <w:numPr>
          <w:ilvl w:val="1"/>
          <w:numId w:val="39"/>
        </w:numPr>
        <w:rPr>
          <w:lang w:val="en-AU"/>
        </w:rPr>
      </w:pPr>
      <w:r w:rsidRPr="006B2AFF">
        <w:rPr>
          <w:lang w:val="en-AU"/>
        </w:rPr>
        <w:t>clearly reporting how many of the 10,000 houses delivered by Homes Tasmania under the Action Plan are new dwellings which have been completed</w:t>
      </w:r>
    </w:p>
    <w:p w14:paraId="50691609" w14:textId="4AE90C27" w:rsidR="009F3010" w:rsidRPr="006B2AFF" w:rsidRDefault="009F3010" w:rsidP="000E09E3">
      <w:pPr>
        <w:pStyle w:val="ListParagraph"/>
        <w:numPr>
          <w:ilvl w:val="1"/>
          <w:numId w:val="39"/>
        </w:numPr>
        <w:rPr>
          <w:lang w:val="en-AU"/>
        </w:rPr>
      </w:pPr>
      <w:r w:rsidRPr="006B2AFF">
        <w:rPr>
          <w:lang w:val="en-AU"/>
        </w:rPr>
        <w:t>clearly reporting how many of the 10,000 houses delivered by Homes Tasmania under the Action Plan were affordable for people in the bottom two income</w:t>
      </w:r>
      <w:r w:rsidR="00CB2392">
        <w:rPr>
          <w:lang w:val="en-AU"/>
        </w:rPr>
        <w:t xml:space="preserve"> </w:t>
      </w:r>
      <w:r w:rsidRPr="006B2AFF">
        <w:rPr>
          <w:lang w:val="en-AU"/>
        </w:rPr>
        <w:t xml:space="preserve">quintiles. </w:t>
      </w:r>
    </w:p>
    <w:p w14:paraId="6A7F35AD" w14:textId="77777777" w:rsidR="009F3010" w:rsidRPr="006B2AFF" w:rsidRDefault="009F3010">
      <w:pPr>
        <w:rPr>
          <w:b/>
          <w:lang w:val="en-AU"/>
        </w:rPr>
      </w:pPr>
    </w:p>
    <w:p w14:paraId="2D3B28F5" w14:textId="77777777" w:rsidR="009F3010" w:rsidRPr="006B2AFF" w:rsidRDefault="009F3010">
      <w:pPr>
        <w:rPr>
          <w:sz w:val="32"/>
          <w:szCs w:val="32"/>
          <w:lang w:val="en-AU"/>
        </w:rPr>
      </w:pPr>
      <w:r w:rsidRPr="006B2AFF">
        <w:rPr>
          <w:lang w:val="en-AU"/>
        </w:rPr>
        <w:br w:type="page"/>
      </w:r>
    </w:p>
    <w:p w14:paraId="519F0330" w14:textId="77777777" w:rsidR="009F3010" w:rsidRPr="00266393" w:rsidRDefault="009F3010" w:rsidP="00CE4F12">
      <w:pPr>
        <w:pStyle w:val="Heading2"/>
      </w:pPr>
      <w:r w:rsidRPr="00266393">
        <w:lastRenderedPageBreak/>
        <w:t xml:space="preserve">Acknowledgement of Country </w:t>
      </w:r>
    </w:p>
    <w:p w14:paraId="24C0FC11" w14:textId="72C32F54" w:rsidR="009F3010" w:rsidRPr="00266393" w:rsidRDefault="009F3010" w:rsidP="00FF5FB8">
      <w:pPr>
        <w:pStyle w:val="TitleinText"/>
      </w:pPr>
      <w:r w:rsidRPr="00266393">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1A92ED39" w14:textId="77777777" w:rsidR="009F3010" w:rsidRPr="00266393" w:rsidRDefault="009F3010" w:rsidP="00CE4F12">
      <w:pPr>
        <w:pStyle w:val="Heading2"/>
      </w:pPr>
      <w:r w:rsidRPr="00266393">
        <w:t xml:space="preserve">Acknowledgements </w:t>
      </w:r>
    </w:p>
    <w:p w14:paraId="11A35D68" w14:textId="77777777" w:rsidR="009F3010" w:rsidRPr="00266393" w:rsidRDefault="009F3010">
      <w:pPr>
        <w:rPr>
          <w:lang w:val="en-AU"/>
        </w:rPr>
      </w:pPr>
      <w:r w:rsidRPr="00266393">
        <w:rPr>
          <w:lang w:val="en-AU"/>
        </w:rP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43430D03" w14:textId="77777777" w:rsidR="009F3010" w:rsidRPr="00266393" w:rsidRDefault="009F3010">
      <w:pPr>
        <w:rPr>
          <w:lang w:val="en-AU"/>
        </w:rPr>
      </w:pPr>
      <w:r w:rsidRPr="00266393">
        <w:rPr>
          <w:lang w:val="en-AU"/>
        </w:rPr>
        <w:t>The assistance of Homes Tasmania in providing data is also acknowledged.</w:t>
      </w:r>
    </w:p>
    <w:p w14:paraId="7E5708B3" w14:textId="77777777" w:rsidR="009F3010" w:rsidRPr="00266393" w:rsidRDefault="009F3010" w:rsidP="00CE4F12">
      <w:pPr>
        <w:pStyle w:val="Heading2"/>
      </w:pPr>
      <w:r w:rsidRPr="00266393">
        <w:t xml:space="preserve">About Anglicare Tasmania </w:t>
      </w:r>
    </w:p>
    <w:p w14:paraId="6BF5A858" w14:textId="77777777" w:rsidR="009F3010" w:rsidRPr="00266393" w:rsidRDefault="009F3010">
      <w:pPr>
        <w:rPr>
          <w:lang w:val="en-AU"/>
        </w:rPr>
      </w:pPr>
      <w:r w:rsidRPr="00266393">
        <w:rPr>
          <w:lang w:val="en-AU"/>
        </w:rPr>
        <w:t xml:space="preserve">Anglicare, in response to the Christian faith, strives to achieve social justice and to provide the opportunity for people in need to reach fullness of life. </w:t>
      </w:r>
    </w:p>
    <w:p w14:paraId="4A4838C5" w14:textId="77777777" w:rsidR="009F3010" w:rsidRPr="00266393" w:rsidRDefault="009F3010">
      <w:pPr>
        <w:rPr>
          <w:lang w:val="en-AU"/>
        </w:rPr>
      </w:pPr>
      <w:r w:rsidRPr="00266393">
        <w:rPr>
          <w:lang w:val="en-AU"/>
        </w:rPr>
        <w:t xml:space="preserve">Our values: </w:t>
      </w:r>
    </w:p>
    <w:p w14:paraId="4FB6C0B2" w14:textId="77777777" w:rsidR="009F3010" w:rsidRPr="00266393" w:rsidRDefault="009F3010">
      <w:pPr>
        <w:rPr>
          <w:lang w:val="en-AU"/>
        </w:rPr>
      </w:pPr>
      <w:r w:rsidRPr="00266393">
        <w:rPr>
          <w:b/>
          <w:lang w:val="en-AU"/>
        </w:rPr>
        <w:t>Hope</w:t>
      </w:r>
      <w:r w:rsidRPr="00266393">
        <w:rPr>
          <w:lang w:val="en-AU"/>
        </w:rPr>
        <w:t xml:space="preserve">: Confidently reaching for fullness of life. </w:t>
      </w:r>
    </w:p>
    <w:p w14:paraId="310B526B" w14:textId="77777777" w:rsidR="009F3010" w:rsidRPr="00266393" w:rsidRDefault="009F3010">
      <w:pPr>
        <w:rPr>
          <w:lang w:val="en-AU"/>
        </w:rPr>
      </w:pPr>
      <w:r w:rsidRPr="00266393">
        <w:rPr>
          <w:b/>
          <w:lang w:val="en-AU"/>
        </w:rPr>
        <w:t>Compassion</w:t>
      </w:r>
      <w:r w:rsidRPr="00266393">
        <w:rPr>
          <w:lang w:val="en-AU"/>
        </w:rPr>
        <w:t xml:space="preserve">: Showing empathy and care for those in need. </w:t>
      </w:r>
    </w:p>
    <w:p w14:paraId="1A659FFA" w14:textId="77777777" w:rsidR="009F3010" w:rsidRPr="00266393" w:rsidRDefault="009F3010">
      <w:pPr>
        <w:rPr>
          <w:lang w:val="en-AU"/>
        </w:rPr>
      </w:pPr>
      <w:r w:rsidRPr="00266393">
        <w:rPr>
          <w:b/>
          <w:lang w:val="en-AU"/>
        </w:rPr>
        <w:t>Justice</w:t>
      </w:r>
      <w:r w:rsidRPr="00266393">
        <w:rPr>
          <w:lang w:val="en-AU"/>
        </w:rPr>
        <w:t xml:space="preserve">: Promoting the fair distribution of resources and opportunities. </w:t>
      </w:r>
    </w:p>
    <w:p w14:paraId="47B6E9C6" w14:textId="77777777" w:rsidR="009F3010" w:rsidRPr="00266393" w:rsidRDefault="009F3010">
      <w:pPr>
        <w:rPr>
          <w:lang w:val="en-AU"/>
        </w:rPr>
      </w:pPr>
      <w:r w:rsidRPr="00266393">
        <w:rPr>
          <w:b/>
          <w:lang w:val="en-AU"/>
        </w:rPr>
        <w:t>Respect</w:t>
      </w:r>
      <w:r w:rsidRPr="00266393">
        <w:rPr>
          <w:lang w:val="en-AU"/>
        </w:rPr>
        <w:t>: Recognising the inherent value and dignity of every person.</w:t>
      </w:r>
    </w:p>
    <w:p w14:paraId="4F33345C" w14:textId="77777777" w:rsidR="009F3010" w:rsidRPr="00266393" w:rsidRDefault="009F3010" w:rsidP="00CE4F12">
      <w:pPr>
        <w:pStyle w:val="Heading2"/>
      </w:pPr>
      <w:r w:rsidRPr="00266393">
        <w:t xml:space="preserve">Anglicare Tasmania’s Social Action and Research Centre </w:t>
      </w:r>
    </w:p>
    <w:p w14:paraId="7A6C88AE" w14:textId="77777777" w:rsidR="009F3010" w:rsidRDefault="009F3010">
      <w:pPr>
        <w:rPr>
          <w:lang w:val="en-AU"/>
        </w:rPr>
      </w:pPr>
      <w:r w:rsidRPr="00266393">
        <w:rPr>
          <w:lang w:val="en-AU"/>
        </w:rPr>
        <w:t xml:space="preserve">The Social Action and Research Centre investigate how and why Tasmanians are affected by poverty and inequality. We use what we learn to advocate for changes that improve people’s lives. </w:t>
      </w:r>
    </w:p>
    <w:p w14:paraId="30C4848E" w14:textId="77777777" w:rsidR="009F3010" w:rsidRDefault="009F3010">
      <w:pPr>
        <w:rPr>
          <w:lang w:val="en-AU"/>
        </w:rPr>
      </w:pPr>
    </w:p>
    <w:p w14:paraId="7E1E1379" w14:textId="77777777" w:rsidR="009F3010" w:rsidRDefault="009F3010">
      <w:pPr>
        <w:rPr>
          <w:lang w:val="en-AU"/>
        </w:rPr>
      </w:pPr>
      <w:r>
        <w:rPr>
          <w:lang w:val="en-AU"/>
        </w:rPr>
        <w:t>To request information or arrange a meeting, contact us:</w:t>
      </w:r>
    </w:p>
    <w:p w14:paraId="62DE0BA1" w14:textId="77777777" w:rsidR="009F3010" w:rsidRPr="00155C31" w:rsidRDefault="009F3010">
      <w:pPr>
        <w:rPr>
          <w:b/>
          <w:bCs/>
          <w:lang w:val="en-AU"/>
        </w:rPr>
      </w:pPr>
      <w:r w:rsidRPr="00155C31">
        <w:rPr>
          <w:b/>
          <w:bCs/>
          <w:lang w:val="en-AU"/>
        </w:rPr>
        <w:t>Office of the CEO</w:t>
      </w:r>
    </w:p>
    <w:p w14:paraId="7B71174C" w14:textId="77777777" w:rsidR="009F3010" w:rsidRDefault="009F3010">
      <w:pPr>
        <w:rPr>
          <w:lang w:val="en-AU"/>
        </w:rPr>
      </w:pPr>
      <w:r>
        <w:rPr>
          <w:lang w:val="en-AU"/>
        </w:rPr>
        <w:t>Anglicare Tasmania</w:t>
      </w:r>
    </w:p>
    <w:p w14:paraId="3C97A975" w14:textId="5BBA2941" w:rsidR="009F3010" w:rsidRDefault="00B35C69">
      <w:pPr>
        <w:rPr>
          <w:lang w:val="en-AU"/>
        </w:rPr>
      </w:pPr>
      <w:hyperlink r:id="rId15" w:history="1">
        <w:r w:rsidRPr="0094703F">
          <w:rPr>
            <w:rStyle w:val="Hyperlink"/>
            <w:rFonts w:ascii="Avenir Next" w:hAnsi="Avenir Next"/>
            <w:lang w:val="en-AU"/>
          </w:rPr>
          <w:t>c.jones@anglicare-tas.org.au</w:t>
        </w:r>
      </w:hyperlink>
    </w:p>
    <w:p w14:paraId="214CC83F" w14:textId="77777777" w:rsidR="009F3010" w:rsidRDefault="009F3010">
      <w:pPr>
        <w:rPr>
          <w:lang w:val="en-AU"/>
        </w:rPr>
      </w:pPr>
      <w:r>
        <w:rPr>
          <w:lang w:val="en-AU"/>
        </w:rPr>
        <w:t>Phone: 1800 243 232</w:t>
      </w:r>
    </w:p>
    <w:p w14:paraId="19AACB17" w14:textId="77777777" w:rsidR="009F3010" w:rsidRDefault="009F3010">
      <w:pPr>
        <w:rPr>
          <w:lang w:val="en-AU"/>
        </w:rPr>
      </w:pPr>
      <w:r>
        <w:rPr>
          <w:lang w:val="en-AU"/>
        </w:rPr>
        <w:t xml:space="preserve">You can find out more about the </w:t>
      </w:r>
      <w:hyperlink r:id="rId16" w:history="1">
        <w:r w:rsidRPr="000050B2">
          <w:rPr>
            <w:rStyle w:val="Hyperlink"/>
            <w:rFonts w:ascii="Avenir Next" w:hAnsi="Avenir Next"/>
            <w:lang w:val="en-AU"/>
          </w:rPr>
          <w:t>Social Action and Research Centre</w:t>
        </w:r>
      </w:hyperlink>
      <w:r>
        <w:rPr>
          <w:lang w:val="en-AU"/>
        </w:rPr>
        <w:t xml:space="preserve"> and access our </w:t>
      </w:r>
      <w:hyperlink r:id="rId17" w:history="1">
        <w:r w:rsidRPr="000050B2">
          <w:rPr>
            <w:rStyle w:val="Hyperlink"/>
            <w:rFonts w:ascii="Avenir Next" w:hAnsi="Avenir Next"/>
            <w:lang w:val="en-AU"/>
          </w:rPr>
          <w:t>online library of Anglicare Tasmania research</w:t>
        </w:r>
      </w:hyperlink>
      <w:r>
        <w:rPr>
          <w:lang w:val="en-AU"/>
        </w:rPr>
        <w:t xml:space="preserve"> by visiting </w:t>
      </w:r>
      <w:hyperlink r:id="rId18" w:history="1">
        <w:r w:rsidRPr="000050B2">
          <w:rPr>
            <w:rStyle w:val="Hyperlink"/>
            <w:rFonts w:ascii="Avenir Next" w:hAnsi="Avenir Next"/>
            <w:lang w:val="en-AU"/>
          </w:rPr>
          <w:t>www.anglicare-tas.org.au</w:t>
        </w:r>
      </w:hyperlink>
      <w:r>
        <w:rPr>
          <w:lang w:val="en-AU"/>
        </w:rPr>
        <w:t>.</w:t>
      </w:r>
    </w:p>
    <w:p w14:paraId="483DFFA8" w14:textId="77777777" w:rsidR="009F3010" w:rsidRDefault="009F3010">
      <w:pPr>
        <w:rPr>
          <w:lang w:val="en-AU"/>
        </w:rPr>
      </w:pPr>
    </w:p>
    <w:p w14:paraId="41792858" w14:textId="44899CD1" w:rsidR="002157C9" w:rsidRDefault="002157C9" w:rsidP="007266B5">
      <w:pPr>
        <w:widowControl/>
        <w:autoSpaceDE/>
        <w:autoSpaceDN/>
        <w:spacing w:before="0" w:after="160" w:line="259" w:lineRule="auto"/>
      </w:pPr>
    </w:p>
    <w:sectPr w:rsidR="002157C9" w:rsidSect="00CB2392">
      <w:headerReference w:type="even" r:id="rId19"/>
      <w:headerReference w:type="default" r:id="rId20"/>
      <w:footerReference w:type="even" r:id="rId21"/>
      <w:footerReference w:type="default" r:id="rId22"/>
      <w:headerReference w:type="first" r:id="rId23"/>
      <w:footerReference w:type="first" r:id="rId24"/>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1D02" w14:textId="77777777" w:rsidR="003710EC" w:rsidRDefault="003710EC" w:rsidP="009F3010">
      <w:pPr>
        <w:spacing w:before="0" w:after="0"/>
      </w:pPr>
      <w:r>
        <w:separator/>
      </w:r>
    </w:p>
  </w:endnote>
  <w:endnote w:type="continuationSeparator" w:id="0">
    <w:p w14:paraId="58309FEC" w14:textId="77777777" w:rsidR="003710EC" w:rsidRDefault="003710EC" w:rsidP="009F30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2AF4622" w14:textId="77777777" w:rsidR="009F3010" w:rsidRPr="0000085C" w:rsidRDefault="009F3010">
        <w:pPr>
          <w:pStyle w:val="Footer"/>
          <w:framePr w:wrap="none" w:vAnchor="text" w:hAnchor="margin" w:xAlign="right" w:y="1"/>
          <w:rPr>
            <w:rStyle w:val="PageNumber"/>
          </w:rPr>
        </w:pPr>
        <w:r w:rsidRPr="0000085C">
          <w:rPr>
            <w:rStyle w:val="PageNumber"/>
          </w:rPr>
          <w:fldChar w:fldCharType="begin"/>
        </w:r>
        <w:r w:rsidRPr="0000085C">
          <w:rPr>
            <w:rStyle w:val="PageNumber"/>
          </w:rPr>
          <w:instrText xml:space="preserve"> PAGE </w:instrText>
        </w:r>
        <w:r w:rsidRPr="0000085C">
          <w:rPr>
            <w:rStyle w:val="PageNumber"/>
          </w:rPr>
          <w:fldChar w:fldCharType="separate"/>
        </w:r>
        <w:r w:rsidRPr="00BC7966">
          <w:rPr>
            <w:rStyle w:val="PageNumber"/>
          </w:rPr>
          <w:t>4</w:t>
        </w:r>
        <w:r w:rsidRPr="0000085C">
          <w:rPr>
            <w:rStyle w:val="PageNumber"/>
          </w:rPr>
          <w:fldChar w:fldCharType="end"/>
        </w:r>
      </w:p>
    </w:sdtContent>
  </w:sdt>
  <w:p w14:paraId="19222C31" w14:textId="77777777" w:rsidR="009F3010" w:rsidRPr="0000085C" w:rsidRDefault="009F30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sdtContent>
      <w:p w14:paraId="3982473B" w14:textId="77777777" w:rsidR="009F3010" w:rsidRPr="0000085C" w:rsidRDefault="009F3010">
        <w:pPr>
          <w:pStyle w:val="Footer"/>
        </w:pPr>
        <w:r w:rsidRPr="00BC7966">
          <w:fldChar w:fldCharType="begin"/>
        </w:r>
        <w:r w:rsidRPr="0000085C">
          <w:instrText xml:space="preserve"> PAGE   \* MERGEFORMAT </w:instrText>
        </w:r>
        <w:r w:rsidRPr="00BC7966">
          <w:fldChar w:fldCharType="separate"/>
        </w:r>
        <w:r w:rsidRPr="00BC7966">
          <w:t>2</w:t>
        </w:r>
        <w:r w:rsidRPr="00BC7966">
          <w:fldChar w:fldCharType="end"/>
        </w:r>
      </w:p>
    </w:sdtContent>
  </w:sdt>
  <w:p w14:paraId="55F37022" w14:textId="77777777" w:rsidR="009F3010" w:rsidRPr="0000085C" w:rsidRDefault="009F3010">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F1B6" w14:textId="77777777" w:rsidR="00152F41" w:rsidRDefault="00152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510E" w14:textId="77777777" w:rsidR="003710EC" w:rsidRDefault="003710EC" w:rsidP="009F3010">
      <w:pPr>
        <w:spacing w:before="0" w:after="0"/>
      </w:pPr>
      <w:r>
        <w:separator/>
      </w:r>
    </w:p>
  </w:footnote>
  <w:footnote w:type="continuationSeparator" w:id="0">
    <w:p w14:paraId="7AC965E3" w14:textId="77777777" w:rsidR="003710EC" w:rsidRDefault="003710EC" w:rsidP="009F3010">
      <w:pPr>
        <w:spacing w:before="0" w:after="0"/>
      </w:pPr>
      <w:r>
        <w:continuationSeparator/>
      </w:r>
    </w:p>
  </w:footnote>
  <w:footnote w:id="1">
    <w:p w14:paraId="2F1E353E" w14:textId="7B3EBE56" w:rsidR="008C4352" w:rsidRPr="008C4352" w:rsidRDefault="008C4352">
      <w:pPr>
        <w:pStyle w:val="FootnoteText"/>
        <w:rPr>
          <w:lang w:val="en-US"/>
        </w:rPr>
      </w:pPr>
      <w:r>
        <w:rPr>
          <w:rStyle w:val="FootnoteReference"/>
        </w:rPr>
        <w:footnoteRef/>
      </w:r>
      <w:r>
        <w:t xml:space="preserve"> </w:t>
      </w:r>
      <w:r w:rsidRPr="008C4352">
        <w:t xml:space="preserve">Australian Institute of Health and Welfare (2023) Specialist Homelessness Services Collection </w:t>
      </w:r>
      <w:r>
        <w:t>M</w:t>
      </w:r>
      <w:r w:rsidRPr="008C4352">
        <w:t>anual – August 2023, AIHW, Australian Government.</w:t>
      </w:r>
    </w:p>
  </w:footnote>
  <w:footnote w:id="2">
    <w:p w14:paraId="65A2C5C9" w14:textId="787A3486" w:rsidR="008C4352" w:rsidRPr="008C4352" w:rsidRDefault="008C4352">
      <w:pPr>
        <w:pStyle w:val="FootnoteText"/>
        <w:rPr>
          <w:lang w:val="en-US"/>
        </w:rPr>
      </w:pPr>
      <w:r>
        <w:rPr>
          <w:rStyle w:val="FootnoteReference"/>
        </w:rPr>
        <w:footnoteRef/>
      </w:r>
      <w:r>
        <w:t xml:space="preserve"> </w:t>
      </w:r>
      <w:r w:rsidRPr="008C4352">
        <w:t xml:space="preserve">Australian Institute of Health and Welfare (2023) Specialist Homelessness Services Collection </w:t>
      </w:r>
      <w:r>
        <w:t>M</w:t>
      </w:r>
      <w:r w:rsidRPr="008C4352">
        <w:t>anual.</w:t>
      </w:r>
    </w:p>
  </w:footnote>
  <w:footnote w:id="3">
    <w:p w14:paraId="113D6D87" w14:textId="05B1C8DB" w:rsidR="000C1494" w:rsidRPr="000C1494" w:rsidRDefault="000C1494">
      <w:pPr>
        <w:pStyle w:val="FootnoteText"/>
        <w:rPr>
          <w:lang w:val="en-US"/>
        </w:rPr>
      </w:pPr>
      <w:r>
        <w:rPr>
          <w:rStyle w:val="FootnoteReference"/>
        </w:rPr>
        <w:footnoteRef/>
      </w:r>
      <w:r>
        <w:t xml:space="preserve"> </w:t>
      </w:r>
      <w:r>
        <w:rPr>
          <w:lang w:val="en-US"/>
        </w:rPr>
        <w:t>The increase of 44% in support periods, compared to only a 3% increase in enquiries, can be attributed to a change of procedure in July 2025 requiring support periods to be opened for low-level enquiries.</w:t>
      </w:r>
    </w:p>
  </w:footnote>
  <w:footnote w:id="4">
    <w:p w14:paraId="1B68CF3A" w14:textId="33945740" w:rsidR="00ED1FD0" w:rsidRPr="00ED1FD0" w:rsidRDefault="00ED1FD0">
      <w:pPr>
        <w:pStyle w:val="FootnoteText"/>
        <w:rPr>
          <w:lang w:val="en-US"/>
        </w:rPr>
      </w:pPr>
      <w:r>
        <w:rPr>
          <w:rStyle w:val="FootnoteReference"/>
        </w:rPr>
        <w:footnoteRef/>
      </w:r>
      <w:r>
        <w:t xml:space="preserve"> </w:t>
      </w:r>
      <w:r w:rsidR="00682D31">
        <w:t>T</w:t>
      </w:r>
      <w:r>
        <w:rPr>
          <w:lang w:val="en-US"/>
        </w:rPr>
        <w:t xml:space="preserve">his has been calculated from the housing circumstance of the person </w:t>
      </w:r>
      <w:r w:rsidRPr="00AE1DE3">
        <w:rPr>
          <w:i/>
          <w:iCs/>
          <w:lang w:val="en-US"/>
        </w:rPr>
        <w:t>on presentation</w:t>
      </w:r>
      <w:r>
        <w:rPr>
          <w:lang w:val="en-US"/>
        </w:rPr>
        <w:t xml:space="preserve"> to the Housing Connect Front Door Service. In the March 2025 Housing Connect Front Door Snapshot</w:t>
      </w:r>
      <w:r w:rsidR="00AE1DE3">
        <w:rPr>
          <w:lang w:val="en-US"/>
        </w:rPr>
        <w:t xml:space="preserve"> report</w:t>
      </w:r>
      <w:r>
        <w:rPr>
          <w:lang w:val="en-US"/>
        </w:rPr>
        <w:t xml:space="preserve">, the metric used was the housing circumstance </w:t>
      </w:r>
      <w:r w:rsidRPr="00ED1FD0">
        <w:rPr>
          <w:i/>
          <w:iCs/>
          <w:lang w:val="en-US"/>
        </w:rPr>
        <w:t>one week prior</w:t>
      </w:r>
      <w:r>
        <w:rPr>
          <w:lang w:val="en-US"/>
        </w:rPr>
        <w:t xml:space="preserve"> to presentation, which was 168.  </w:t>
      </w:r>
    </w:p>
  </w:footnote>
  <w:footnote w:id="5">
    <w:p w14:paraId="4E0C1E0C" w14:textId="187D621C" w:rsidR="00A9505B" w:rsidRPr="00C176A0" w:rsidRDefault="00A9505B" w:rsidP="00A9505B">
      <w:pPr>
        <w:pStyle w:val="FootnoteText"/>
        <w:rPr>
          <w:lang w:val="en-US"/>
        </w:rPr>
      </w:pPr>
      <w:r>
        <w:rPr>
          <w:rStyle w:val="FootnoteReference"/>
        </w:rPr>
        <w:footnoteRef/>
      </w:r>
      <w:r>
        <w:t xml:space="preserve"> </w:t>
      </w:r>
      <w:r w:rsidRPr="0084479D">
        <w:rPr>
          <w:lang w:val="en-US"/>
        </w:rPr>
        <w:t xml:space="preserve">This appears to be a jump from the last quarter which reported ‘unaccompanied children’. The metric has been updated as the previous metric used did not capture children under 18 presenting </w:t>
      </w:r>
      <w:r w:rsidR="00A863D1">
        <w:rPr>
          <w:lang w:val="en-US"/>
        </w:rPr>
        <w:t xml:space="preserve">unaccompanied </w:t>
      </w:r>
      <w:r w:rsidRPr="0084479D">
        <w:rPr>
          <w:lang w:val="en-US"/>
        </w:rPr>
        <w:t xml:space="preserve">who were returning clients of Housing Connect Front Door and remained linked to a parent they had previously presented with for support. This updated metric captures </w:t>
      </w:r>
      <w:r w:rsidR="0084479D">
        <w:rPr>
          <w:lang w:val="en-US"/>
        </w:rPr>
        <w:t xml:space="preserve">support periods for </w:t>
      </w:r>
      <w:r w:rsidRPr="0084479D">
        <w:rPr>
          <w:lang w:val="en-US"/>
        </w:rPr>
        <w:t>children who presented alone</w:t>
      </w:r>
      <w:r w:rsidR="0084479D">
        <w:rPr>
          <w:lang w:val="en-US"/>
        </w:rPr>
        <w:t>, not unique clients.</w:t>
      </w:r>
    </w:p>
  </w:footnote>
  <w:footnote w:id="6">
    <w:p w14:paraId="59F9C546" w14:textId="3FBFD10B" w:rsidR="00842FC1" w:rsidRPr="00842FC1" w:rsidRDefault="00842FC1" w:rsidP="00842FC1">
      <w:pPr>
        <w:pStyle w:val="FootnoteText"/>
        <w:rPr>
          <w:lang w:val="en-US"/>
        </w:rPr>
      </w:pPr>
      <w:r>
        <w:rPr>
          <w:rStyle w:val="FootnoteReference"/>
        </w:rPr>
        <w:footnoteRef/>
      </w:r>
      <w:r>
        <w:t xml:space="preserve"> </w:t>
      </w:r>
      <w:r w:rsidRPr="00842FC1">
        <w:rPr>
          <w:lang w:val="en-US"/>
        </w:rPr>
        <w:t>Azize M</w:t>
      </w:r>
      <w:r w:rsidR="003B3CAE">
        <w:rPr>
          <w:lang w:val="en-US"/>
        </w:rPr>
        <w:t xml:space="preserve"> (</w:t>
      </w:r>
      <w:r w:rsidRPr="00842FC1">
        <w:rPr>
          <w:lang w:val="en-US"/>
        </w:rPr>
        <w:t>2026</w:t>
      </w:r>
      <w:r w:rsidR="003B3CAE">
        <w:rPr>
          <w:lang w:val="en-US"/>
        </w:rPr>
        <w:t>)</w:t>
      </w:r>
      <w:r w:rsidRPr="00842FC1">
        <w:rPr>
          <w:lang w:val="en-US"/>
        </w:rPr>
        <w:t xml:space="preserve"> </w:t>
      </w:r>
      <w:r w:rsidRPr="00842FC1">
        <w:rPr>
          <w:i/>
          <w:iCs/>
          <w:lang w:val="en-US"/>
        </w:rPr>
        <w:t>Cost of Living Index: Income Support Payments</w:t>
      </w:r>
      <w:r>
        <w:rPr>
          <w:lang w:val="en-US"/>
        </w:rPr>
        <w:t>,</w:t>
      </w:r>
      <w:r w:rsidRPr="00842FC1">
        <w:rPr>
          <w:lang w:val="en-US"/>
        </w:rPr>
        <w:t xml:space="preserve"> Anglicare Australia</w:t>
      </w:r>
      <w:r>
        <w:rPr>
          <w:lang w:val="en-US"/>
        </w:rPr>
        <w:t>,</w:t>
      </w:r>
      <w:r w:rsidRPr="00842FC1">
        <w:rPr>
          <w:lang w:val="en-US"/>
        </w:rPr>
        <w:t xml:space="preserve"> Canberra.</w:t>
      </w:r>
    </w:p>
  </w:footnote>
  <w:footnote w:id="7">
    <w:p w14:paraId="043E4422" w14:textId="7D55A827" w:rsidR="00E710B4" w:rsidRPr="00E710B4" w:rsidRDefault="00E710B4">
      <w:pPr>
        <w:pStyle w:val="FootnoteText"/>
        <w:rPr>
          <w:lang w:val="en-AU"/>
        </w:rPr>
      </w:pPr>
      <w:r>
        <w:rPr>
          <w:rStyle w:val="FootnoteReference"/>
        </w:rPr>
        <w:footnoteRef/>
      </w:r>
      <w:r>
        <w:t xml:space="preserve"> </w:t>
      </w:r>
      <w:r>
        <w:rPr>
          <w:lang w:val="en-AU"/>
        </w:rPr>
        <w:t>Having a lease in place and being nominated on the lease is the most secure form of leased tenure.</w:t>
      </w:r>
    </w:p>
  </w:footnote>
  <w:footnote w:id="8">
    <w:p w14:paraId="01137AD4" w14:textId="321283A9" w:rsidR="00534FE9" w:rsidRPr="000E09E3" w:rsidRDefault="00534FE9" w:rsidP="00534FE9">
      <w:pPr>
        <w:pStyle w:val="FootnoteText"/>
        <w:rPr>
          <w:i/>
          <w:iCs/>
          <w:lang w:val="en-US"/>
        </w:rPr>
      </w:pPr>
      <w:r>
        <w:rPr>
          <w:rStyle w:val="FootnoteReference"/>
        </w:rPr>
        <w:footnoteRef/>
      </w:r>
      <w:r>
        <w:t xml:space="preserve"> </w:t>
      </w:r>
      <w:r>
        <w:rPr>
          <w:lang w:val="en-US"/>
        </w:rPr>
        <w:t>Tenants</w:t>
      </w:r>
      <w:r w:rsidR="00F0798E">
        <w:rPr>
          <w:lang w:val="en-US"/>
        </w:rPr>
        <w:t>’</w:t>
      </w:r>
      <w:r>
        <w:rPr>
          <w:lang w:val="en-US"/>
        </w:rPr>
        <w:t xml:space="preserve"> Union of Tasmania</w:t>
      </w:r>
      <w:r w:rsidR="005B6563">
        <w:rPr>
          <w:lang w:val="en-US"/>
        </w:rPr>
        <w:t xml:space="preserve"> (</w:t>
      </w:r>
      <w:r>
        <w:rPr>
          <w:lang w:val="en-US"/>
        </w:rPr>
        <w:t>2026</w:t>
      </w:r>
      <w:r w:rsidR="005B6563">
        <w:rPr>
          <w:lang w:val="en-US"/>
        </w:rPr>
        <w:t>)</w:t>
      </w:r>
      <w:r>
        <w:rPr>
          <w:lang w:val="en-US"/>
        </w:rPr>
        <w:t xml:space="preserve"> </w:t>
      </w:r>
      <w:hyperlink r:id="rId1" w:history="1">
        <w:r w:rsidRPr="000E09E3">
          <w:rPr>
            <w:rStyle w:val="Hyperlink"/>
            <w:rFonts w:ascii="Avenir Next" w:hAnsi="Avenir Next"/>
            <w:i/>
            <w:iCs/>
            <w:lang w:val="en-US"/>
          </w:rPr>
          <w:t>Tasmanian Rents: March quarter 2026</w:t>
        </w:r>
      </w:hyperlink>
    </w:p>
  </w:footnote>
  <w:footnote w:id="9">
    <w:p w14:paraId="635BCE16" w14:textId="30CE586F" w:rsidR="00534FE9" w:rsidRPr="00435626" w:rsidRDefault="00534FE9" w:rsidP="00534FE9">
      <w:pPr>
        <w:pStyle w:val="FootnoteText"/>
        <w:rPr>
          <w:lang w:val="en-US"/>
        </w:rPr>
      </w:pPr>
      <w:r>
        <w:rPr>
          <w:rStyle w:val="FootnoteReference"/>
        </w:rPr>
        <w:footnoteRef/>
      </w:r>
      <w:r>
        <w:t xml:space="preserve"> </w:t>
      </w:r>
      <w:r w:rsidRPr="007E1FA7">
        <w:rPr>
          <w:lang w:val="en-US"/>
        </w:rPr>
        <w:t>Calculated using Tenants</w:t>
      </w:r>
      <w:r w:rsidR="008E6130" w:rsidRPr="007E1FA7">
        <w:rPr>
          <w:lang w:val="en-US"/>
        </w:rPr>
        <w:t>’</w:t>
      </w:r>
      <w:r w:rsidRPr="007E1FA7">
        <w:rPr>
          <w:lang w:val="en-US"/>
        </w:rPr>
        <w:t xml:space="preserve"> Union of Tasmania </w:t>
      </w:r>
      <w:r w:rsidR="008E6130" w:rsidRPr="007E1FA7">
        <w:rPr>
          <w:lang w:val="en-US"/>
        </w:rPr>
        <w:t>m</w:t>
      </w:r>
      <w:r w:rsidRPr="007E1FA7">
        <w:rPr>
          <w:lang w:val="en-US"/>
        </w:rPr>
        <w:t>edian rent index and ABS wage price index</w:t>
      </w:r>
      <w:r w:rsidR="008E6130" w:rsidRPr="007E1FA7">
        <w:rPr>
          <w:lang w:val="en-US"/>
        </w:rPr>
        <w:t>.</w:t>
      </w:r>
    </w:p>
  </w:footnote>
  <w:footnote w:id="10">
    <w:p w14:paraId="53FE0F3D" w14:textId="772354FD" w:rsidR="00534FE9" w:rsidRPr="000E09E3" w:rsidRDefault="00534FE9" w:rsidP="00534FE9">
      <w:pPr>
        <w:pStyle w:val="FootnoteText"/>
        <w:rPr>
          <w:lang w:val="en-US"/>
        </w:rPr>
      </w:pPr>
      <w:r>
        <w:rPr>
          <w:rStyle w:val="FootnoteReference"/>
        </w:rPr>
        <w:footnoteRef/>
      </w:r>
      <w:r>
        <w:t xml:space="preserve"> </w:t>
      </w:r>
      <w:r>
        <w:rPr>
          <w:lang w:val="en-US"/>
        </w:rPr>
        <w:t xml:space="preserve">Anglicare Tasmania’s 2026 </w:t>
      </w:r>
      <w:hyperlink r:id="rId2" w:history="1">
        <w:r w:rsidRPr="000E09E3">
          <w:rPr>
            <w:rStyle w:val="Hyperlink"/>
            <w:rFonts w:ascii="Avenir Next" w:hAnsi="Avenir Next"/>
            <w:i/>
            <w:iCs/>
            <w:lang w:val="en-US"/>
          </w:rPr>
          <w:t>Rental Affordability Snapshot</w:t>
        </w:r>
      </w:hyperlink>
      <w:r>
        <w:rPr>
          <w:lang w:val="en-US"/>
        </w:rPr>
        <w:t xml:space="preserve"> found that 0% of rentals were affordable for single people receiving Jobseeker, Youth Allowance, Disability Support Pension, Parenting Payment Single or for people receiving Age Pension who wished to live alone. </w:t>
      </w:r>
    </w:p>
  </w:footnote>
  <w:footnote w:id="11">
    <w:p w14:paraId="549B7605" w14:textId="5857B17C" w:rsidR="00534FE9" w:rsidRPr="000E09E3" w:rsidRDefault="00534FE9" w:rsidP="00534FE9">
      <w:pPr>
        <w:pStyle w:val="FootnoteText"/>
        <w:rPr>
          <w:lang w:val="en-US"/>
        </w:rPr>
      </w:pPr>
      <w:r>
        <w:rPr>
          <w:rStyle w:val="FootnoteReference"/>
        </w:rPr>
        <w:footnoteRef/>
      </w:r>
      <w:r>
        <w:t xml:space="preserve"> </w:t>
      </w:r>
      <w:r>
        <w:rPr>
          <w:lang w:val="en-US"/>
        </w:rPr>
        <w:t xml:space="preserve">Homes Tasmania </w:t>
      </w:r>
      <w:r w:rsidR="00A028DF">
        <w:rPr>
          <w:lang w:val="en-US"/>
        </w:rPr>
        <w:t>(</w:t>
      </w:r>
      <w:r>
        <w:rPr>
          <w:lang w:val="en-US"/>
        </w:rPr>
        <w:t>2026</w:t>
      </w:r>
      <w:r w:rsidR="00A028DF">
        <w:rPr>
          <w:lang w:val="en-US"/>
        </w:rPr>
        <w:t>)</w:t>
      </w:r>
      <w:r>
        <w:rPr>
          <w:lang w:val="en-US"/>
        </w:rPr>
        <w:t xml:space="preserve"> </w:t>
      </w:r>
      <w:hyperlink r:id="rId3" w:history="1">
        <w:r w:rsidRPr="000E09E3">
          <w:rPr>
            <w:rStyle w:val="Hyperlink"/>
            <w:rFonts w:ascii="Avenir Next" w:hAnsi="Avenir Next"/>
            <w:lang w:val="en-US"/>
          </w:rPr>
          <w:t>Dashboard March 2026</w:t>
        </w:r>
      </w:hyperlink>
      <w:r>
        <w:t xml:space="preserve">; </w:t>
      </w:r>
      <w:hyperlink r:id="rId4" w:history="1">
        <w:r w:rsidRPr="00A23DA4">
          <w:rPr>
            <w:rStyle w:val="Hyperlink"/>
            <w:rFonts w:ascii="Avenir Next" w:hAnsi="Avenir Next"/>
          </w:rPr>
          <w:t>Dashboard March 2025</w:t>
        </w:r>
      </w:hyperlink>
    </w:p>
  </w:footnote>
  <w:footnote w:id="12">
    <w:p w14:paraId="6B0B7601" w14:textId="4971E544" w:rsidR="00534FE9" w:rsidRPr="002637D5" w:rsidRDefault="00534FE9" w:rsidP="00534FE9">
      <w:pPr>
        <w:pStyle w:val="FootnoteText"/>
        <w:rPr>
          <w:lang w:val="en-US"/>
        </w:rPr>
      </w:pPr>
      <w:r>
        <w:rPr>
          <w:rStyle w:val="FootnoteReference"/>
        </w:rPr>
        <w:footnoteRef/>
      </w:r>
      <w:r>
        <w:t xml:space="preserve"> </w:t>
      </w:r>
      <w:r>
        <w:rPr>
          <w:lang w:val="en-US"/>
        </w:rPr>
        <w:t xml:space="preserve">Homes Tasmania </w:t>
      </w:r>
      <w:r w:rsidR="002D3308">
        <w:rPr>
          <w:lang w:val="en-US"/>
        </w:rPr>
        <w:t>(</w:t>
      </w:r>
      <w:r>
        <w:rPr>
          <w:lang w:val="en-US"/>
        </w:rPr>
        <w:t>2026</w:t>
      </w:r>
      <w:r w:rsidR="002D3308">
        <w:rPr>
          <w:lang w:val="en-US"/>
        </w:rPr>
        <w:t>)</w:t>
      </w:r>
      <w:r>
        <w:rPr>
          <w:lang w:val="en-US"/>
        </w:rPr>
        <w:t xml:space="preserve"> </w:t>
      </w:r>
      <w:hyperlink r:id="rId5" w:history="1">
        <w:r w:rsidRPr="000E09E3">
          <w:rPr>
            <w:rStyle w:val="Hyperlink"/>
            <w:rFonts w:ascii="Avenir Next" w:hAnsi="Avenir Next"/>
            <w:lang w:val="en-US"/>
          </w:rPr>
          <w:t>Dashboard March 2026</w:t>
        </w:r>
      </w:hyperlink>
    </w:p>
  </w:footnote>
  <w:footnote w:id="13">
    <w:p w14:paraId="4D2D7099" w14:textId="0DDA2A8F" w:rsidR="00370FCA" w:rsidRPr="003954E9" w:rsidRDefault="00370FCA" w:rsidP="00370FCA">
      <w:pPr>
        <w:pStyle w:val="FootnoteText"/>
        <w:rPr>
          <w:lang w:val="en-US"/>
        </w:rPr>
      </w:pPr>
      <w:r>
        <w:rPr>
          <w:rStyle w:val="FootnoteReference"/>
        </w:rPr>
        <w:footnoteRef/>
      </w:r>
      <w:r>
        <w:t xml:space="preserve"> </w:t>
      </w:r>
      <w:r>
        <w:rPr>
          <w:lang w:val="en-US"/>
        </w:rPr>
        <w:t>This</w:t>
      </w:r>
      <w:r w:rsidR="0088145C">
        <w:rPr>
          <w:lang w:val="en-US"/>
        </w:rPr>
        <w:t xml:space="preserve"> data</w:t>
      </w:r>
      <w:r>
        <w:rPr>
          <w:lang w:val="en-US"/>
        </w:rPr>
        <w:t xml:space="preserve"> includes one young person who turned 16 during the support period, and 13 young people who turned 18 during the support period. </w:t>
      </w:r>
    </w:p>
  </w:footnote>
  <w:footnote w:id="14">
    <w:p w14:paraId="3228CD7D" w14:textId="1D9BF68D" w:rsidR="00E671B8" w:rsidRPr="00E671B8" w:rsidRDefault="00E671B8">
      <w:pPr>
        <w:pStyle w:val="FootnoteText"/>
        <w:rPr>
          <w:lang w:val="en-US"/>
        </w:rPr>
      </w:pPr>
      <w:r>
        <w:rPr>
          <w:rStyle w:val="FootnoteReference"/>
        </w:rPr>
        <w:footnoteRef/>
      </w:r>
      <w:r>
        <w:t xml:space="preserve"> </w:t>
      </w:r>
      <w:r>
        <w:rPr>
          <w:lang w:val="en-US"/>
        </w:rPr>
        <w:t>‘Homeless’ includes sleeping rough or in non-conventional accommodation, and short-term or emergency accommodation</w:t>
      </w:r>
      <w:r w:rsidR="00F61DEE">
        <w:rPr>
          <w:lang w:val="en-US"/>
        </w:rPr>
        <w:t>.</w:t>
      </w:r>
    </w:p>
  </w:footnote>
  <w:footnote w:id="15">
    <w:p w14:paraId="5D6B21B4" w14:textId="77777777" w:rsidR="00586A85" w:rsidRPr="00E0102B" w:rsidRDefault="00586A85" w:rsidP="00586A85">
      <w:pPr>
        <w:pStyle w:val="FootnoteText"/>
        <w:rPr>
          <w:lang w:val="en-US"/>
        </w:rPr>
      </w:pPr>
      <w:r>
        <w:rPr>
          <w:rStyle w:val="FootnoteReference"/>
        </w:rPr>
        <w:footnoteRef/>
      </w:r>
      <w:r>
        <w:t xml:space="preserve"> </w:t>
      </w:r>
      <w:r>
        <w:rPr>
          <w:lang w:val="en-US"/>
        </w:rPr>
        <w:t xml:space="preserve">Robinson C, Hobbs C, Batterham D, McGregor J, Stone W (2026) </w:t>
      </w:r>
      <w:r w:rsidRPr="00E0102B">
        <w:rPr>
          <w:i/>
          <w:iCs/>
          <w:lang w:val="en-US"/>
        </w:rPr>
        <w:t xml:space="preserve">Better futures: Supported accommodation for unaccompanied children and young people experiencing homelessness, </w:t>
      </w:r>
      <w:r w:rsidRPr="00E0102B">
        <w:rPr>
          <w:lang w:val="en-US"/>
        </w:rPr>
        <w:t>AHURI Final Report No. 459, Australian Housing and Urban Research Institute Limited, Melbourne</w:t>
      </w:r>
      <w:r>
        <w:rPr>
          <w:lang w:val="en-US"/>
        </w:rPr>
        <w:t>.</w:t>
      </w:r>
    </w:p>
  </w:footnote>
  <w:footnote w:id="16">
    <w:p w14:paraId="54E582BD" w14:textId="12504985" w:rsidR="20A42E4E" w:rsidRDefault="20A42E4E" w:rsidP="20A42E4E">
      <w:pPr>
        <w:pStyle w:val="FootnoteText"/>
        <w:rPr>
          <w:lang w:val="en-US"/>
        </w:rPr>
      </w:pPr>
      <w:r w:rsidRPr="20A42E4E">
        <w:rPr>
          <w:rStyle w:val="FootnoteReference"/>
        </w:rPr>
        <w:footnoteRef/>
      </w:r>
      <w:r>
        <w:t xml:space="preserve"> </w:t>
      </w:r>
      <w:r w:rsidRPr="20A42E4E">
        <w:rPr>
          <w:lang w:val="en-US"/>
        </w:rPr>
        <w:t>Robinson C, Hobbs C, Batterham D, McGregor J and Stone W (2026.</w:t>
      </w:r>
    </w:p>
  </w:footnote>
  <w:footnote w:id="17">
    <w:p w14:paraId="680B8FDC" w14:textId="2D212237" w:rsidR="20A42E4E" w:rsidRDefault="20A42E4E" w:rsidP="20A42E4E">
      <w:pPr>
        <w:pStyle w:val="FootnoteText"/>
        <w:rPr>
          <w:lang w:val="en-US"/>
        </w:rPr>
      </w:pPr>
      <w:r w:rsidRPr="20A42E4E">
        <w:rPr>
          <w:rStyle w:val="FootnoteReference"/>
        </w:rPr>
        <w:footnoteRef/>
      </w:r>
      <w:r>
        <w:t xml:space="preserve"> </w:t>
      </w:r>
      <w:r w:rsidRPr="20A42E4E">
        <w:rPr>
          <w:lang w:val="en-US"/>
        </w:rPr>
        <w:t>Robinson C, Hobbs C, Batterham D, McGregor J and Stone W (2026).</w:t>
      </w:r>
    </w:p>
  </w:footnote>
  <w:footnote w:id="18">
    <w:p w14:paraId="2D406BCC" w14:textId="3A3AAAC2" w:rsidR="00D96958" w:rsidRPr="007E1FA7" w:rsidRDefault="00D96958" w:rsidP="00D96958">
      <w:pPr>
        <w:pStyle w:val="FootnoteText"/>
        <w:rPr>
          <w:lang w:val="en-US"/>
        </w:rPr>
      </w:pPr>
      <w:r>
        <w:rPr>
          <w:rStyle w:val="FootnoteReference"/>
        </w:rPr>
        <w:footnoteRef/>
      </w:r>
      <w:r>
        <w:t xml:space="preserve"> </w:t>
      </w:r>
      <w:r w:rsidRPr="007E1FA7">
        <w:rPr>
          <w:lang w:val="en-US"/>
        </w:rPr>
        <w:t>Homes Tasmania</w:t>
      </w:r>
      <w:r w:rsidR="000875E2" w:rsidRPr="007E1FA7">
        <w:rPr>
          <w:lang w:val="en-US"/>
        </w:rPr>
        <w:t xml:space="preserve"> (2024)</w:t>
      </w:r>
      <w:r w:rsidRPr="007E1FA7">
        <w:rPr>
          <w:lang w:val="en-US"/>
        </w:rPr>
        <w:t xml:space="preserve"> </w:t>
      </w:r>
      <w:hyperlink r:id="rId6" w:history="1">
        <w:r w:rsidRPr="007E1FA7">
          <w:rPr>
            <w:rStyle w:val="Hyperlink"/>
            <w:rFonts w:ascii="Avenir Next" w:hAnsi="Avenir Next"/>
            <w:i/>
            <w:iCs/>
            <w:lang w:val="en-US"/>
          </w:rPr>
          <w:t>Social Housing Policy</w:t>
        </w:r>
      </w:hyperlink>
      <w:r w:rsidRPr="007E1FA7">
        <w:rPr>
          <w:lang w:val="en-US"/>
        </w:rPr>
        <w:t xml:space="preserve"> </w:t>
      </w:r>
    </w:p>
  </w:footnote>
  <w:footnote w:id="19">
    <w:p w14:paraId="25250DFF" w14:textId="13B97899" w:rsidR="006000FD" w:rsidRPr="00CF6061" w:rsidRDefault="006000FD">
      <w:pPr>
        <w:pStyle w:val="FootnoteText"/>
        <w:rPr>
          <w:i/>
          <w:iCs/>
          <w:lang w:val="en-US"/>
        </w:rPr>
      </w:pPr>
      <w:r w:rsidRPr="007E1FA7">
        <w:rPr>
          <w:rStyle w:val="FootnoteReference"/>
        </w:rPr>
        <w:footnoteRef/>
      </w:r>
      <w:r w:rsidRPr="007E1FA7">
        <w:t xml:space="preserve"> Services Australia</w:t>
      </w:r>
      <w:r w:rsidR="00400298" w:rsidRPr="007E1FA7">
        <w:t xml:space="preserve"> (2022)</w:t>
      </w:r>
      <w:r w:rsidRPr="007E1FA7">
        <w:t xml:space="preserve"> </w:t>
      </w:r>
      <w:hyperlink r:id="rId7" w:history="1">
        <w:r w:rsidR="0075117D" w:rsidRPr="007E1FA7">
          <w:rPr>
            <w:rStyle w:val="Hyperlink"/>
            <w:rFonts w:ascii="Avenir Next" w:hAnsi="Avenir Next"/>
            <w:i/>
            <w:iCs/>
          </w:rPr>
          <w:t>If it's unreasonable for you to live at home</w:t>
        </w:r>
      </w:hyperlink>
    </w:p>
  </w:footnote>
  <w:footnote w:id="20">
    <w:p w14:paraId="69837FAA" w14:textId="150E5D99" w:rsidR="004D7436" w:rsidRPr="004D7436" w:rsidRDefault="004D7436">
      <w:pPr>
        <w:pStyle w:val="FootnoteText"/>
        <w:rPr>
          <w:lang w:val="en-US"/>
        </w:rPr>
      </w:pPr>
      <w:r>
        <w:rPr>
          <w:rStyle w:val="FootnoteReference"/>
        </w:rPr>
        <w:footnoteRef/>
      </w:r>
      <w:r>
        <w:t xml:space="preserve"> </w:t>
      </w:r>
      <w:r>
        <w:rPr>
          <w:lang w:val="en-US"/>
        </w:rPr>
        <w:t xml:space="preserve">Anglicare Tasmania </w:t>
      </w:r>
      <w:r w:rsidR="000E3093">
        <w:rPr>
          <w:lang w:val="en-US"/>
        </w:rPr>
        <w:t>(</w:t>
      </w:r>
      <w:r>
        <w:rPr>
          <w:lang w:val="en-US"/>
        </w:rPr>
        <w:t>2026</w:t>
      </w:r>
      <w:r w:rsidR="000E3093">
        <w:rPr>
          <w:lang w:val="en-US"/>
        </w:rPr>
        <w:t>)</w:t>
      </w:r>
      <w:r>
        <w:rPr>
          <w:lang w:val="en-US"/>
        </w:rPr>
        <w:t xml:space="preserve"> </w:t>
      </w:r>
      <w:hyperlink r:id="rId8" w:history="1">
        <w:r w:rsidRPr="005B6563">
          <w:rPr>
            <w:rStyle w:val="Hyperlink"/>
            <w:rFonts w:ascii="Avenir Next" w:hAnsi="Avenir Next"/>
            <w:i/>
            <w:iCs/>
            <w:lang w:val="en-US"/>
          </w:rPr>
          <w:t>Rental Affordability Snapshot</w:t>
        </w:r>
      </w:hyperlink>
      <w:r>
        <w:rPr>
          <w:lang w:val="en-US"/>
        </w:rPr>
        <w:t>, Social Action and Research Centre, Hobart.</w:t>
      </w:r>
    </w:p>
  </w:footnote>
  <w:footnote w:id="21">
    <w:p w14:paraId="42B9708D" w14:textId="6B2A5754" w:rsidR="005B6563" w:rsidRPr="005B6563" w:rsidRDefault="005B6563">
      <w:pPr>
        <w:pStyle w:val="FootnoteText"/>
        <w:rPr>
          <w:lang w:val="en-US"/>
        </w:rPr>
      </w:pPr>
      <w:r>
        <w:rPr>
          <w:rStyle w:val="FootnoteReference"/>
        </w:rPr>
        <w:footnoteRef/>
      </w:r>
      <w:r>
        <w:t xml:space="preserve"> </w:t>
      </w:r>
      <w:r>
        <w:rPr>
          <w:lang w:val="en-US"/>
        </w:rPr>
        <w:t xml:space="preserve">Anglicare Tasmania (2026) </w:t>
      </w:r>
      <w:hyperlink r:id="rId9" w:history="1">
        <w:r w:rsidRPr="005B6563">
          <w:rPr>
            <w:rStyle w:val="Hyperlink"/>
            <w:rFonts w:ascii="Avenir Next" w:hAnsi="Avenir Next"/>
            <w:i/>
            <w:iCs/>
            <w:lang w:val="en-US"/>
          </w:rPr>
          <w:t>Rental Affordability Snapshot</w:t>
        </w:r>
      </w:hyperlink>
      <w:r>
        <w:rPr>
          <w:lang w:val="en-US"/>
        </w:rPr>
        <w:t>.</w:t>
      </w:r>
    </w:p>
  </w:footnote>
  <w:footnote w:id="22">
    <w:p w14:paraId="52C5E4AC" w14:textId="34A79468" w:rsidR="00572422" w:rsidRPr="000E3093" w:rsidRDefault="00572422" w:rsidP="00572422">
      <w:pPr>
        <w:pStyle w:val="FootnoteText"/>
        <w:rPr>
          <w:lang w:val="en-US"/>
        </w:rPr>
      </w:pPr>
      <w:r>
        <w:rPr>
          <w:rStyle w:val="FootnoteReference"/>
        </w:rPr>
        <w:footnoteRef/>
      </w:r>
      <w:r>
        <w:t xml:space="preserve"> </w:t>
      </w:r>
      <w:r w:rsidRPr="000E3093">
        <w:rPr>
          <w:lang w:val="en-US"/>
        </w:rPr>
        <w:t>Tasmanian Government</w:t>
      </w:r>
      <w:r>
        <w:rPr>
          <w:lang w:val="en-US"/>
        </w:rPr>
        <w:t xml:space="preserve"> (</w:t>
      </w:r>
      <w:r w:rsidRPr="000E3093">
        <w:rPr>
          <w:lang w:val="en-US"/>
        </w:rPr>
        <w:t>2026</w:t>
      </w:r>
      <w:r>
        <w:rPr>
          <w:lang w:val="en-US"/>
        </w:rPr>
        <w:t>)</w:t>
      </w:r>
      <w:r w:rsidRPr="000E3093">
        <w:rPr>
          <w:lang w:val="en-US"/>
        </w:rPr>
        <w:t xml:space="preserve"> </w:t>
      </w:r>
      <w:hyperlink r:id="rId10" w:history="1">
        <w:r w:rsidRPr="00154F4F">
          <w:rPr>
            <w:rStyle w:val="Hyperlink"/>
            <w:rFonts w:ascii="Avenir Next" w:hAnsi="Avenir Next"/>
            <w:i/>
            <w:iCs/>
            <w:lang w:val="en-US"/>
          </w:rPr>
          <w:t>Short Stay Levy Bill tabled in Parliament</w:t>
        </w:r>
      </w:hyperlink>
      <w:r>
        <w:rPr>
          <w:lang w:val="en-US"/>
        </w:rPr>
        <w:t xml:space="preserve">. </w:t>
      </w:r>
    </w:p>
  </w:footnote>
  <w:footnote w:id="23">
    <w:p w14:paraId="0CE26FC2" w14:textId="2499FCAD" w:rsidR="00572422" w:rsidRPr="000E3093" w:rsidRDefault="00572422" w:rsidP="00572422">
      <w:pPr>
        <w:pStyle w:val="FootnoteText"/>
        <w:rPr>
          <w:lang w:val="en-US"/>
        </w:rPr>
      </w:pPr>
      <w:r>
        <w:rPr>
          <w:rStyle w:val="FootnoteReference"/>
        </w:rPr>
        <w:footnoteRef/>
      </w:r>
      <w:r>
        <w:t xml:space="preserve"> </w:t>
      </w:r>
      <w:r w:rsidRPr="000E3093">
        <w:rPr>
          <w:lang w:val="en-US"/>
        </w:rPr>
        <w:t xml:space="preserve">Tasmanian Government (2026) </w:t>
      </w:r>
      <w:hyperlink r:id="rId11" w:history="1">
        <w:r w:rsidRPr="00CC0592">
          <w:rPr>
            <w:rStyle w:val="Hyperlink"/>
            <w:rFonts w:ascii="Avenir Next" w:hAnsi="Avenir Next"/>
            <w:i/>
            <w:iCs/>
            <w:lang w:val="en-US"/>
          </w:rPr>
          <w:t>Making it easier for Tasmanians to own their own home - 5% Short Stay Levy</w:t>
        </w:r>
      </w:hyperlink>
      <w:r w:rsidRPr="000E3093">
        <w:rPr>
          <w:lang w:val="en-US"/>
        </w:rPr>
        <w:t>.</w:t>
      </w:r>
    </w:p>
  </w:footnote>
  <w:footnote w:id="24">
    <w:p w14:paraId="7A760008" w14:textId="45CCB4C3" w:rsidR="000E2FA0" w:rsidRPr="000E2FA0" w:rsidRDefault="000E2FA0">
      <w:pPr>
        <w:pStyle w:val="FootnoteText"/>
        <w:rPr>
          <w:lang w:val="en-US"/>
        </w:rPr>
      </w:pPr>
      <w:r>
        <w:rPr>
          <w:rStyle w:val="FootnoteReference"/>
        </w:rPr>
        <w:footnoteRef/>
      </w:r>
      <w:r>
        <w:t xml:space="preserve"> </w:t>
      </w:r>
      <w:r w:rsidRPr="000B5FF3">
        <w:rPr>
          <w:lang w:val="en-US"/>
        </w:rPr>
        <w:t>Gurran N, Buckle C, Troy L, Nasreen Z, Crommelin L, Phibbs P, Shrestha P, Redmond D</w:t>
      </w:r>
      <w:r w:rsidR="00A52B7C">
        <w:rPr>
          <w:lang w:val="en-US"/>
        </w:rPr>
        <w:t xml:space="preserve"> and</w:t>
      </w:r>
      <w:r w:rsidRPr="000B5FF3">
        <w:rPr>
          <w:lang w:val="en-US"/>
        </w:rPr>
        <w:t xml:space="preserve"> Harrison, J</w:t>
      </w:r>
      <w:r>
        <w:rPr>
          <w:lang w:val="en-US"/>
        </w:rPr>
        <w:t xml:space="preserve"> (2026)</w:t>
      </w:r>
      <w:r w:rsidRPr="000B5FF3">
        <w:rPr>
          <w:lang w:val="en-US"/>
        </w:rPr>
        <w:t xml:space="preserve"> </w:t>
      </w:r>
      <w:r w:rsidRPr="000B5FF3">
        <w:rPr>
          <w:i/>
          <w:iCs/>
          <w:lang w:val="en-US"/>
        </w:rPr>
        <w:t>Short-term rental accommodation: models, impacts and policy responses</w:t>
      </w:r>
      <w:r w:rsidRPr="000B5FF3">
        <w:rPr>
          <w:lang w:val="en-US"/>
        </w:rPr>
        <w:t>, AHURI Final Report No. 460, Australian Housing and Urban Research Institute Limited, Melbourne</w:t>
      </w:r>
      <w:r>
        <w:rPr>
          <w:lang w:val="en-US"/>
        </w:rPr>
        <w:t>.</w:t>
      </w:r>
    </w:p>
  </w:footnote>
  <w:footnote w:id="25">
    <w:p w14:paraId="357A64FC" w14:textId="2C3FB9F3" w:rsidR="00A92428" w:rsidRPr="00A92428" w:rsidRDefault="00A92428">
      <w:pPr>
        <w:pStyle w:val="FootnoteText"/>
        <w:rPr>
          <w:lang w:val="en-US"/>
        </w:rPr>
      </w:pPr>
      <w:r>
        <w:rPr>
          <w:rStyle w:val="FootnoteReference"/>
        </w:rPr>
        <w:footnoteRef/>
      </w:r>
      <w:r>
        <w:t xml:space="preserve"> </w:t>
      </w:r>
      <w:r w:rsidRPr="00A92428">
        <w:rPr>
          <w:lang w:val="en-US"/>
        </w:rPr>
        <w:t xml:space="preserve">Anglicare Tasmania (2026) </w:t>
      </w:r>
      <w:r w:rsidRPr="00A92428">
        <w:rPr>
          <w:i/>
          <w:iCs/>
          <w:lang w:val="en-US"/>
        </w:rPr>
        <w:t>Submission to consultation on Short Stay Levy Bill 2025</w:t>
      </w:r>
      <w:r w:rsidRPr="00A92428">
        <w:rPr>
          <w:lang w:val="en-US"/>
        </w:rPr>
        <w:t>.</w:t>
      </w:r>
    </w:p>
  </w:footnote>
  <w:footnote w:id="26">
    <w:p w14:paraId="267B7CB1" w14:textId="328EF291" w:rsidR="00126232" w:rsidRPr="007E1FA7" w:rsidRDefault="00126232">
      <w:pPr>
        <w:pStyle w:val="FootnoteText"/>
        <w:rPr>
          <w:lang w:val="en-US"/>
        </w:rPr>
      </w:pPr>
      <w:r>
        <w:rPr>
          <w:rStyle w:val="FootnoteReference"/>
        </w:rPr>
        <w:footnoteRef/>
      </w:r>
      <w:r>
        <w:t xml:space="preserve"> </w:t>
      </w:r>
      <w:r w:rsidRPr="007E1FA7">
        <w:t>Homes Tasmania</w:t>
      </w:r>
      <w:r w:rsidR="00414E92" w:rsidRPr="007E1FA7">
        <w:t>,</w:t>
      </w:r>
      <w:r w:rsidRPr="007E1FA7">
        <w:t xml:space="preserve"> </w:t>
      </w:r>
      <w:hyperlink r:id="rId12" w:history="1">
        <w:r w:rsidR="001A25D5" w:rsidRPr="007E1FA7">
          <w:rPr>
            <w:rStyle w:val="Hyperlink"/>
            <w:rFonts w:ascii="Avenir Next" w:hAnsi="Avenir Next"/>
            <w:i/>
            <w:iCs/>
          </w:rPr>
          <w:t>Youth2Independence</w:t>
        </w:r>
      </w:hyperlink>
      <w:r w:rsidRPr="007E1FA7">
        <w:t xml:space="preserve"> </w:t>
      </w:r>
    </w:p>
  </w:footnote>
  <w:footnote w:id="27">
    <w:p w14:paraId="5BE8F574" w14:textId="5D600EAB" w:rsidR="00187292" w:rsidRPr="00187292" w:rsidRDefault="00187292">
      <w:pPr>
        <w:pStyle w:val="FootnoteText"/>
        <w:rPr>
          <w:lang w:val="en-US"/>
        </w:rPr>
      </w:pPr>
      <w:r w:rsidRPr="007E1FA7">
        <w:rPr>
          <w:rStyle w:val="FootnoteReference"/>
        </w:rPr>
        <w:footnoteRef/>
      </w:r>
      <w:r w:rsidRPr="007E1FA7">
        <w:t xml:space="preserve"> Homes Tasmania</w:t>
      </w:r>
      <w:r w:rsidR="00414E92" w:rsidRPr="007E1FA7">
        <w:t>,</w:t>
      </w:r>
      <w:r w:rsidRPr="007E1FA7">
        <w:t xml:space="preserve"> </w:t>
      </w:r>
      <w:hyperlink r:id="rId13" w:history="1">
        <w:r w:rsidR="001A25D5" w:rsidRPr="007E1FA7">
          <w:rPr>
            <w:rStyle w:val="Hyperlink"/>
            <w:rFonts w:ascii="Avenir Next" w:hAnsi="Avenir Next"/>
            <w:i/>
            <w:iCs/>
          </w:rPr>
          <w:t>Youth2Independence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64A2" w14:textId="77777777" w:rsidR="00152F41" w:rsidRDefault="00152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461059"/>
      <w:docPartObj>
        <w:docPartGallery w:val="Watermarks"/>
        <w:docPartUnique/>
      </w:docPartObj>
    </w:sdtPr>
    <w:sdtEndPr/>
    <w:sdtContent>
      <w:p w14:paraId="73526673" w14:textId="447C9CF9" w:rsidR="00152F41" w:rsidRDefault="003710EC">
        <w:pPr>
          <w:pStyle w:val="Header"/>
        </w:pPr>
        <w:r>
          <w:rPr>
            <w:noProof/>
          </w:rPr>
          <w:pict w14:anchorId="7E280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A322" w14:textId="77777777" w:rsidR="00152F41" w:rsidRDefault="00152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8F85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05D66"/>
    <w:multiLevelType w:val="hybridMultilevel"/>
    <w:tmpl w:val="B794343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B55EE"/>
    <w:multiLevelType w:val="hybridMultilevel"/>
    <w:tmpl w:val="D698237E"/>
    <w:lvl w:ilvl="0" w:tplc="0090D9B0">
      <w:start w:val="4"/>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3" w15:restartNumberingAfterBreak="0">
    <w:nsid w:val="0691205A"/>
    <w:multiLevelType w:val="hybridMultilevel"/>
    <w:tmpl w:val="9F34405A"/>
    <w:lvl w:ilvl="0" w:tplc="327C44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33CD6"/>
    <w:multiLevelType w:val="hybridMultilevel"/>
    <w:tmpl w:val="800CC8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CA65F2B"/>
    <w:multiLevelType w:val="hybridMultilevel"/>
    <w:tmpl w:val="ACB65E6A"/>
    <w:lvl w:ilvl="0" w:tplc="71E26B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A63EEA"/>
    <w:multiLevelType w:val="hybridMultilevel"/>
    <w:tmpl w:val="97C626F8"/>
    <w:lvl w:ilvl="0" w:tplc="1C1CE8D2">
      <w:start w:val="3"/>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435F25"/>
    <w:multiLevelType w:val="hybridMultilevel"/>
    <w:tmpl w:val="BC42CE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58EE2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794CE8"/>
    <w:multiLevelType w:val="hybridMultilevel"/>
    <w:tmpl w:val="0A40B690"/>
    <w:lvl w:ilvl="0" w:tplc="2F8A3F62">
      <w:start w:val="1"/>
      <w:numFmt w:val="bullet"/>
      <w:pStyle w:val="Bullets"/>
      <w:lvlText w:val=""/>
      <w:lvlJc w:val="left"/>
      <w:pPr>
        <w:ind w:left="360" w:hanging="360"/>
      </w:pPr>
      <w:rPr>
        <w:rFonts w:ascii="Symbol" w:hAnsi="Symbol" w:hint="default"/>
        <w:color w:val="FFC000"/>
        <w:sz w:val="24"/>
        <w:szCs w:val="24"/>
      </w:rPr>
    </w:lvl>
    <w:lvl w:ilvl="1" w:tplc="0C090003">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0" w15:restartNumberingAfterBreak="0">
    <w:nsid w:val="17BC3B0B"/>
    <w:multiLevelType w:val="hybridMultilevel"/>
    <w:tmpl w:val="C20C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39399C"/>
    <w:multiLevelType w:val="hybridMultilevel"/>
    <w:tmpl w:val="DACE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655212"/>
    <w:multiLevelType w:val="hybridMultilevel"/>
    <w:tmpl w:val="52F4C992"/>
    <w:lvl w:ilvl="0" w:tplc="749CF2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CF1B4B"/>
    <w:multiLevelType w:val="hybridMultilevel"/>
    <w:tmpl w:val="9C944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7179A6"/>
    <w:multiLevelType w:val="hybridMultilevel"/>
    <w:tmpl w:val="469A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CE6070"/>
    <w:multiLevelType w:val="multilevel"/>
    <w:tmpl w:val="C7A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C5D9A"/>
    <w:multiLevelType w:val="hybridMultilevel"/>
    <w:tmpl w:val="64D82A70"/>
    <w:lvl w:ilvl="0" w:tplc="47285A26">
      <w:start w:val="2"/>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2B7BC4"/>
    <w:multiLevelType w:val="hybridMultilevel"/>
    <w:tmpl w:val="590A626E"/>
    <w:lvl w:ilvl="0" w:tplc="7A86C89A">
      <w:start w:val="1"/>
      <w:numFmt w:val="decimal"/>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C01D8E"/>
    <w:multiLevelType w:val="hybridMultilevel"/>
    <w:tmpl w:val="B06CAF38"/>
    <w:lvl w:ilvl="0" w:tplc="5476B7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17325C"/>
    <w:multiLevelType w:val="hybridMultilevel"/>
    <w:tmpl w:val="4A3A04AE"/>
    <w:lvl w:ilvl="0" w:tplc="CAF480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7B7E37"/>
    <w:multiLevelType w:val="hybridMultilevel"/>
    <w:tmpl w:val="5F0A63B8"/>
    <w:lvl w:ilvl="0" w:tplc="21D8B6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0D333E"/>
    <w:multiLevelType w:val="hybridMultilevel"/>
    <w:tmpl w:val="76728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C58415F"/>
    <w:multiLevelType w:val="multilevel"/>
    <w:tmpl w:val="3D3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52510"/>
    <w:multiLevelType w:val="hybridMultilevel"/>
    <w:tmpl w:val="D52463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5" w15:restartNumberingAfterBreak="0">
    <w:nsid w:val="3E841D94"/>
    <w:multiLevelType w:val="hybridMultilevel"/>
    <w:tmpl w:val="6D4C8064"/>
    <w:lvl w:ilvl="0" w:tplc="FC6691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01140B"/>
    <w:multiLevelType w:val="multilevel"/>
    <w:tmpl w:val="1DB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D7BBB"/>
    <w:multiLevelType w:val="hybridMultilevel"/>
    <w:tmpl w:val="2F24EFDC"/>
    <w:lvl w:ilvl="0" w:tplc="7AA6AA2E">
      <w:start w:val="5"/>
      <w:numFmt w:val="bullet"/>
      <w:lvlText w:val="-"/>
      <w:lvlJc w:val="left"/>
      <w:pPr>
        <w:ind w:left="927" w:hanging="360"/>
      </w:pPr>
      <w:rPr>
        <w:rFonts w:ascii="Avenir Next" w:eastAsia="AvenirNext LT Pro Bold" w:hAnsi="Avenir Next" w:cs="AvenirNext LT Pro Bold"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8" w15:restartNumberingAfterBreak="0">
    <w:nsid w:val="436534E3"/>
    <w:multiLevelType w:val="hybridMultilevel"/>
    <w:tmpl w:val="46B894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49981575"/>
    <w:multiLevelType w:val="hybridMultilevel"/>
    <w:tmpl w:val="BC04627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0" w15:restartNumberingAfterBreak="0">
    <w:nsid w:val="4C0A54C0"/>
    <w:multiLevelType w:val="hybridMultilevel"/>
    <w:tmpl w:val="2E60A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CC2828"/>
    <w:multiLevelType w:val="hybridMultilevel"/>
    <w:tmpl w:val="8C60B59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3" w15:restartNumberingAfterBreak="0">
    <w:nsid w:val="5DB10726"/>
    <w:multiLevelType w:val="hybridMultilevel"/>
    <w:tmpl w:val="8DAC96A6"/>
    <w:lvl w:ilvl="0" w:tplc="FFFFFFFF">
      <w:start w:val="1"/>
      <w:numFmt w:val="decimal"/>
      <w:lvlText w:val="%1."/>
      <w:lvlJc w:val="left"/>
      <w:pPr>
        <w:ind w:left="720" w:hanging="360"/>
      </w:pPr>
      <w:rPr>
        <w:rFonts w:hint="default"/>
        <w:b/>
        <w:bCs w:val="0"/>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3A1FA0"/>
    <w:multiLevelType w:val="hybridMultilevel"/>
    <w:tmpl w:val="8390B3A2"/>
    <w:lvl w:ilvl="0" w:tplc="E800F9C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9E601F"/>
    <w:multiLevelType w:val="hybridMultilevel"/>
    <w:tmpl w:val="AF8C2A58"/>
    <w:lvl w:ilvl="0" w:tplc="83D61B66">
      <w:start w:val="1"/>
      <w:numFmt w:val="decimal"/>
      <w:lvlText w:val="%1."/>
      <w:lvlJc w:val="left"/>
      <w:pPr>
        <w:ind w:left="720" w:hanging="360"/>
      </w:pPr>
      <w:rPr>
        <w:rFonts w:hint="default"/>
        <w:b/>
        <w:bCs w:val="0"/>
      </w:rPr>
    </w:lvl>
    <w:lvl w:ilvl="1" w:tplc="26B41922">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A1B0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D4370D4"/>
    <w:multiLevelType w:val="hybridMultilevel"/>
    <w:tmpl w:val="AF8C2A58"/>
    <w:lvl w:ilvl="0" w:tplc="FFFFFFFF">
      <w:start w:val="1"/>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8C4F02"/>
    <w:multiLevelType w:val="hybridMultilevel"/>
    <w:tmpl w:val="376820CC"/>
    <w:lvl w:ilvl="0" w:tplc="8C52A4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076F1B"/>
    <w:multiLevelType w:val="hybridMultilevel"/>
    <w:tmpl w:val="7CE2815E"/>
    <w:lvl w:ilvl="0" w:tplc="CCDA3C6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7066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69E62FF"/>
    <w:multiLevelType w:val="hybridMultilevel"/>
    <w:tmpl w:val="182A71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6EB97E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A061D84"/>
    <w:multiLevelType w:val="hybridMultilevel"/>
    <w:tmpl w:val="EF6A6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D9D5683"/>
    <w:multiLevelType w:val="hybridMultilevel"/>
    <w:tmpl w:val="CE40EB44"/>
    <w:lvl w:ilvl="0" w:tplc="4FACF0C0">
      <w:start w:val="1"/>
      <w:numFmt w:val="decimal"/>
      <w:lvlText w:val="%1."/>
      <w:lvlJc w:val="left"/>
      <w:pPr>
        <w:ind w:left="720" w:hanging="360"/>
      </w:pPr>
      <w:rPr>
        <w:b/>
        <w:bCs w:val="0"/>
      </w:r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31274">
    <w:abstractNumId w:val="9"/>
  </w:num>
  <w:num w:numId="2" w16cid:durableId="1829131221">
    <w:abstractNumId w:val="44"/>
  </w:num>
  <w:num w:numId="3" w16cid:durableId="562523891">
    <w:abstractNumId w:val="17"/>
  </w:num>
  <w:num w:numId="4" w16cid:durableId="212082939">
    <w:abstractNumId w:val="24"/>
  </w:num>
  <w:num w:numId="5" w16cid:durableId="1806314352">
    <w:abstractNumId w:val="10"/>
  </w:num>
  <w:num w:numId="6" w16cid:durableId="1938826543">
    <w:abstractNumId w:val="20"/>
  </w:num>
  <w:num w:numId="7" w16cid:durableId="346837353">
    <w:abstractNumId w:val="43"/>
  </w:num>
  <w:num w:numId="8" w16cid:durableId="339235976">
    <w:abstractNumId w:val="13"/>
  </w:num>
  <w:num w:numId="9" w16cid:durableId="153955939">
    <w:abstractNumId w:val="21"/>
  </w:num>
  <w:num w:numId="10" w16cid:durableId="629944056">
    <w:abstractNumId w:val="11"/>
  </w:num>
  <w:num w:numId="11" w16cid:durableId="674768131">
    <w:abstractNumId w:val="26"/>
  </w:num>
  <w:num w:numId="12" w16cid:durableId="684332183">
    <w:abstractNumId w:val="12"/>
  </w:num>
  <w:num w:numId="13" w16cid:durableId="1650136179">
    <w:abstractNumId w:val="28"/>
  </w:num>
  <w:num w:numId="14" w16cid:durableId="886185805">
    <w:abstractNumId w:val="7"/>
  </w:num>
  <w:num w:numId="15" w16cid:durableId="26375780">
    <w:abstractNumId w:val="15"/>
  </w:num>
  <w:num w:numId="16" w16cid:durableId="2112780317">
    <w:abstractNumId w:val="22"/>
  </w:num>
  <w:num w:numId="17" w16cid:durableId="1079867593">
    <w:abstractNumId w:val="31"/>
  </w:num>
  <w:num w:numId="18" w16cid:durableId="1323314689">
    <w:abstractNumId w:val="5"/>
  </w:num>
  <w:num w:numId="19" w16cid:durableId="608044545">
    <w:abstractNumId w:val="38"/>
  </w:num>
  <w:num w:numId="20" w16cid:durableId="1602639024">
    <w:abstractNumId w:val="23"/>
  </w:num>
  <w:num w:numId="21" w16cid:durableId="1062289906">
    <w:abstractNumId w:val="14"/>
  </w:num>
  <w:num w:numId="22" w16cid:durableId="1660426913">
    <w:abstractNumId w:val="30"/>
  </w:num>
  <w:num w:numId="23" w16cid:durableId="1229152037">
    <w:abstractNumId w:val="32"/>
  </w:num>
  <w:num w:numId="24" w16cid:durableId="1073545727">
    <w:abstractNumId w:val="19"/>
  </w:num>
  <w:num w:numId="25" w16cid:durableId="432406767">
    <w:abstractNumId w:val="3"/>
  </w:num>
  <w:num w:numId="26" w16cid:durableId="1310136223">
    <w:abstractNumId w:val="6"/>
  </w:num>
  <w:num w:numId="27" w16cid:durableId="1524976992">
    <w:abstractNumId w:val="16"/>
  </w:num>
  <w:num w:numId="28" w16cid:durableId="1046950669">
    <w:abstractNumId w:val="35"/>
  </w:num>
  <w:num w:numId="29" w16cid:durableId="234245706">
    <w:abstractNumId w:val="25"/>
  </w:num>
  <w:num w:numId="30" w16cid:durableId="271861020">
    <w:abstractNumId w:val="4"/>
  </w:num>
  <w:num w:numId="31" w16cid:durableId="942687005">
    <w:abstractNumId w:val="41"/>
  </w:num>
  <w:num w:numId="32" w16cid:durableId="1895385238">
    <w:abstractNumId w:val="39"/>
  </w:num>
  <w:num w:numId="33" w16cid:durableId="1205679051">
    <w:abstractNumId w:val="27"/>
  </w:num>
  <w:num w:numId="34" w16cid:durableId="1170028530">
    <w:abstractNumId w:val="1"/>
  </w:num>
  <w:num w:numId="35" w16cid:durableId="900748071">
    <w:abstractNumId w:val="29"/>
  </w:num>
  <w:num w:numId="36" w16cid:durableId="1324774081">
    <w:abstractNumId w:val="18"/>
  </w:num>
  <w:num w:numId="37" w16cid:durableId="1802725392">
    <w:abstractNumId w:val="2"/>
  </w:num>
  <w:num w:numId="38" w16cid:durableId="663968668">
    <w:abstractNumId w:val="8"/>
  </w:num>
  <w:num w:numId="39" w16cid:durableId="1160733714">
    <w:abstractNumId w:val="37"/>
  </w:num>
  <w:num w:numId="40" w16cid:durableId="1650400215">
    <w:abstractNumId w:val="33"/>
  </w:num>
  <w:num w:numId="41" w16cid:durableId="1172838566">
    <w:abstractNumId w:val="34"/>
  </w:num>
  <w:num w:numId="42" w16cid:durableId="1544907747">
    <w:abstractNumId w:val="36"/>
  </w:num>
  <w:num w:numId="43" w16cid:durableId="462695928">
    <w:abstractNumId w:val="40"/>
  </w:num>
  <w:num w:numId="44" w16cid:durableId="539778267">
    <w:abstractNumId w:val="0"/>
  </w:num>
  <w:num w:numId="45" w16cid:durableId="179058807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F3010"/>
    <w:rsid w:val="00001BB2"/>
    <w:rsid w:val="00002FF6"/>
    <w:rsid w:val="000140EA"/>
    <w:rsid w:val="00014985"/>
    <w:rsid w:val="00017F2F"/>
    <w:rsid w:val="00024BB5"/>
    <w:rsid w:val="00025193"/>
    <w:rsid w:val="000303C5"/>
    <w:rsid w:val="000318EF"/>
    <w:rsid w:val="000422E8"/>
    <w:rsid w:val="00045F54"/>
    <w:rsid w:val="000506C9"/>
    <w:rsid w:val="00056A9A"/>
    <w:rsid w:val="00060C99"/>
    <w:rsid w:val="000648A4"/>
    <w:rsid w:val="000757C6"/>
    <w:rsid w:val="000858EE"/>
    <w:rsid w:val="000875E2"/>
    <w:rsid w:val="00090FCA"/>
    <w:rsid w:val="000954F8"/>
    <w:rsid w:val="000A2CF6"/>
    <w:rsid w:val="000B37F2"/>
    <w:rsid w:val="000B5FF3"/>
    <w:rsid w:val="000C0714"/>
    <w:rsid w:val="000C1494"/>
    <w:rsid w:val="000C4D24"/>
    <w:rsid w:val="000D5A59"/>
    <w:rsid w:val="000D5D1B"/>
    <w:rsid w:val="000E09E3"/>
    <w:rsid w:val="000E2FA0"/>
    <w:rsid w:val="000E3093"/>
    <w:rsid w:val="000F2FF5"/>
    <w:rsid w:val="0011172D"/>
    <w:rsid w:val="0011437B"/>
    <w:rsid w:val="00120403"/>
    <w:rsid w:val="0012332F"/>
    <w:rsid w:val="00126232"/>
    <w:rsid w:val="0012734F"/>
    <w:rsid w:val="00130897"/>
    <w:rsid w:val="0014152E"/>
    <w:rsid w:val="0014339B"/>
    <w:rsid w:val="00152F41"/>
    <w:rsid w:val="00154506"/>
    <w:rsid w:val="00154F4F"/>
    <w:rsid w:val="00164F63"/>
    <w:rsid w:val="001740E5"/>
    <w:rsid w:val="00181D3F"/>
    <w:rsid w:val="00187292"/>
    <w:rsid w:val="00192D37"/>
    <w:rsid w:val="001A095A"/>
    <w:rsid w:val="001A0C6E"/>
    <w:rsid w:val="001A25D5"/>
    <w:rsid w:val="001A70D0"/>
    <w:rsid w:val="001B0490"/>
    <w:rsid w:val="001B6999"/>
    <w:rsid w:val="001C03E0"/>
    <w:rsid w:val="001C4678"/>
    <w:rsid w:val="001C7405"/>
    <w:rsid w:val="001D0D4B"/>
    <w:rsid w:val="001D2881"/>
    <w:rsid w:val="001D6952"/>
    <w:rsid w:val="001D7E0E"/>
    <w:rsid w:val="001E31EC"/>
    <w:rsid w:val="001E4587"/>
    <w:rsid w:val="001F5991"/>
    <w:rsid w:val="001F5BBC"/>
    <w:rsid w:val="001F7F46"/>
    <w:rsid w:val="00201CC1"/>
    <w:rsid w:val="00205893"/>
    <w:rsid w:val="002059DC"/>
    <w:rsid w:val="00211B86"/>
    <w:rsid w:val="002157C9"/>
    <w:rsid w:val="00215D7B"/>
    <w:rsid w:val="00215DE9"/>
    <w:rsid w:val="00216880"/>
    <w:rsid w:val="00216E51"/>
    <w:rsid w:val="00217C0C"/>
    <w:rsid w:val="00220503"/>
    <w:rsid w:val="00227604"/>
    <w:rsid w:val="002305F3"/>
    <w:rsid w:val="002309B4"/>
    <w:rsid w:val="00233532"/>
    <w:rsid w:val="002336C0"/>
    <w:rsid w:val="002547CC"/>
    <w:rsid w:val="00255565"/>
    <w:rsid w:val="00263502"/>
    <w:rsid w:val="002637D5"/>
    <w:rsid w:val="002641CB"/>
    <w:rsid w:val="00275345"/>
    <w:rsid w:val="00275E1B"/>
    <w:rsid w:val="00280143"/>
    <w:rsid w:val="00282151"/>
    <w:rsid w:val="00283003"/>
    <w:rsid w:val="00293379"/>
    <w:rsid w:val="0029677A"/>
    <w:rsid w:val="0029725B"/>
    <w:rsid w:val="00297355"/>
    <w:rsid w:val="002A0C8D"/>
    <w:rsid w:val="002A4A1A"/>
    <w:rsid w:val="002B683C"/>
    <w:rsid w:val="002D3308"/>
    <w:rsid w:val="002D4476"/>
    <w:rsid w:val="002E069C"/>
    <w:rsid w:val="002E321F"/>
    <w:rsid w:val="002E5D2A"/>
    <w:rsid w:val="002F12A8"/>
    <w:rsid w:val="002F33D3"/>
    <w:rsid w:val="002F5251"/>
    <w:rsid w:val="002F5FE2"/>
    <w:rsid w:val="002F706E"/>
    <w:rsid w:val="00303003"/>
    <w:rsid w:val="00307671"/>
    <w:rsid w:val="00310E72"/>
    <w:rsid w:val="003303FD"/>
    <w:rsid w:val="003415D3"/>
    <w:rsid w:val="00342F58"/>
    <w:rsid w:val="00346A71"/>
    <w:rsid w:val="003510B8"/>
    <w:rsid w:val="00351FB4"/>
    <w:rsid w:val="003547AD"/>
    <w:rsid w:val="00365D87"/>
    <w:rsid w:val="0037014F"/>
    <w:rsid w:val="00370D2D"/>
    <w:rsid w:val="00370FCA"/>
    <w:rsid w:val="003710EC"/>
    <w:rsid w:val="00381AFA"/>
    <w:rsid w:val="00382DDF"/>
    <w:rsid w:val="003954E9"/>
    <w:rsid w:val="003A134B"/>
    <w:rsid w:val="003A36C0"/>
    <w:rsid w:val="003A4362"/>
    <w:rsid w:val="003A4894"/>
    <w:rsid w:val="003B10DB"/>
    <w:rsid w:val="003B3CAE"/>
    <w:rsid w:val="003B3F61"/>
    <w:rsid w:val="003C0D85"/>
    <w:rsid w:val="003C3219"/>
    <w:rsid w:val="003C5D0D"/>
    <w:rsid w:val="003C662D"/>
    <w:rsid w:val="003C6C1A"/>
    <w:rsid w:val="003C70BC"/>
    <w:rsid w:val="003D360F"/>
    <w:rsid w:val="003D62BF"/>
    <w:rsid w:val="003E436D"/>
    <w:rsid w:val="003E5F97"/>
    <w:rsid w:val="003F46E0"/>
    <w:rsid w:val="00400298"/>
    <w:rsid w:val="00400BDA"/>
    <w:rsid w:val="004014FC"/>
    <w:rsid w:val="00410D60"/>
    <w:rsid w:val="00412BD1"/>
    <w:rsid w:val="00414E92"/>
    <w:rsid w:val="004173A2"/>
    <w:rsid w:val="004218E5"/>
    <w:rsid w:val="004229D5"/>
    <w:rsid w:val="00434F1C"/>
    <w:rsid w:val="00435626"/>
    <w:rsid w:val="004406BE"/>
    <w:rsid w:val="00451746"/>
    <w:rsid w:val="004524EB"/>
    <w:rsid w:val="00463B13"/>
    <w:rsid w:val="00465DFD"/>
    <w:rsid w:val="004805A9"/>
    <w:rsid w:val="00485B00"/>
    <w:rsid w:val="00487B61"/>
    <w:rsid w:val="00487E48"/>
    <w:rsid w:val="00493F0A"/>
    <w:rsid w:val="004A042D"/>
    <w:rsid w:val="004A1952"/>
    <w:rsid w:val="004B0BED"/>
    <w:rsid w:val="004B2481"/>
    <w:rsid w:val="004B5471"/>
    <w:rsid w:val="004D334D"/>
    <w:rsid w:val="004D4476"/>
    <w:rsid w:val="004D7436"/>
    <w:rsid w:val="004F1D2D"/>
    <w:rsid w:val="004F33FE"/>
    <w:rsid w:val="004F522F"/>
    <w:rsid w:val="00506034"/>
    <w:rsid w:val="00507E34"/>
    <w:rsid w:val="005148A1"/>
    <w:rsid w:val="005236B5"/>
    <w:rsid w:val="005244BA"/>
    <w:rsid w:val="0052644D"/>
    <w:rsid w:val="00531D77"/>
    <w:rsid w:val="005323C5"/>
    <w:rsid w:val="00534550"/>
    <w:rsid w:val="00534FE9"/>
    <w:rsid w:val="0054126B"/>
    <w:rsid w:val="00543050"/>
    <w:rsid w:val="00543747"/>
    <w:rsid w:val="005449A9"/>
    <w:rsid w:val="00547AD3"/>
    <w:rsid w:val="00552281"/>
    <w:rsid w:val="005546F4"/>
    <w:rsid w:val="00561F93"/>
    <w:rsid w:val="00562400"/>
    <w:rsid w:val="0056469F"/>
    <w:rsid w:val="00565E12"/>
    <w:rsid w:val="00572422"/>
    <w:rsid w:val="005806DB"/>
    <w:rsid w:val="00583D94"/>
    <w:rsid w:val="00586A85"/>
    <w:rsid w:val="0059013F"/>
    <w:rsid w:val="005A7DB6"/>
    <w:rsid w:val="005B2A36"/>
    <w:rsid w:val="005B4A68"/>
    <w:rsid w:val="005B573C"/>
    <w:rsid w:val="005B6563"/>
    <w:rsid w:val="005C606C"/>
    <w:rsid w:val="005C6123"/>
    <w:rsid w:val="005C74A9"/>
    <w:rsid w:val="005D3CCA"/>
    <w:rsid w:val="005D7C45"/>
    <w:rsid w:val="005E1425"/>
    <w:rsid w:val="005E2337"/>
    <w:rsid w:val="005E42EB"/>
    <w:rsid w:val="005F2197"/>
    <w:rsid w:val="006000FD"/>
    <w:rsid w:val="00602C93"/>
    <w:rsid w:val="00605557"/>
    <w:rsid w:val="00607598"/>
    <w:rsid w:val="0061445B"/>
    <w:rsid w:val="00614BFD"/>
    <w:rsid w:val="006226EC"/>
    <w:rsid w:val="0062404B"/>
    <w:rsid w:val="0062512F"/>
    <w:rsid w:val="00625232"/>
    <w:rsid w:val="0063388A"/>
    <w:rsid w:val="00633EF7"/>
    <w:rsid w:val="00634A8A"/>
    <w:rsid w:val="0063557D"/>
    <w:rsid w:val="00646268"/>
    <w:rsid w:val="00652696"/>
    <w:rsid w:val="00652B88"/>
    <w:rsid w:val="006543CA"/>
    <w:rsid w:val="00655039"/>
    <w:rsid w:val="006820DA"/>
    <w:rsid w:val="00682D31"/>
    <w:rsid w:val="006876C9"/>
    <w:rsid w:val="00694638"/>
    <w:rsid w:val="006959CF"/>
    <w:rsid w:val="006A5CDF"/>
    <w:rsid w:val="006A70C3"/>
    <w:rsid w:val="006A7FDA"/>
    <w:rsid w:val="006B3BCB"/>
    <w:rsid w:val="006B7860"/>
    <w:rsid w:val="006C3DF9"/>
    <w:rsid w:val="006C4E96"/>
    <w:rsid w:val="006C5442"/>
    <w:rsid w:val="006C67F1"/>
    <w:rsid w:val="006C69A4"/>
    <w:rsid w:val="006E09F4"/>
    <w:rsid w:val="006E18E7"/>
    <w:rsid w:val="006E3725"/>
    <w:rsid w:val="006F0C3D"/>
    <w:rsid w:val="00701EAD"/>
    <w:rsid w:val="00702F07"/>
    <w:rsid w:val="00707FF2"/>
    <w:rsid w:val="0071089E"/>
    <w:rsid w:val="00710FFE"/>
    <w:rsid w:val="00712D4C"/>
    <w:rsid w:val="00716B9D"/>
    <w:rsid w:val="00720A2E"/>
    <w:rsid w:val="00720ABD"/>
    <w:rsid w:val="00722554"/>
    <w:rsid w:val="007266B5"/>
    <w:rsid w:val="00731A13"/>
    <w:rsid w:val="00734C79"/>
    <w:rsid w:val="007359AF"/>
    <w:rsid w:val="00744806"/>
    <w:rsid w:val="0075117D"/>
    <w:rsid w:val="0075512E"/>
    <w:rsid w:val="00756888"/>
    <w:rsid w:val="00765AFA"/>
    <w:rsid w:val="0076784E"/>
    <w:rsid w:val="0076787A"/>
    <w:rsid w:val="00770662"/>
    <w:rsid w:val="00770B6E"/>
    <w:rsid w:val="00780B98"/>
    <w:rsid w:val="007835E6"/>
    <w:rsid w:val="0079123A"/>
    <w:rsid w:val="007B1906"/>
    <w:rsid w:val="007B53E0"/>
    <w:rsid w:val="007B66ED"/>
    <w:rsid w:val="007B7E2F"/>
    <w:rsid w:val="007C748D"/>
    <w:rsid w:val="007C79DD"/>
    <w:rsid w:val="007D40CF"/>
    <w:rsid w:val="007D5DF4"/>
    <w:rsid w:val="007E1FA7"/>
    <w:rsid w:val="007E51C8"/>
    <w:rsid w:val="007E59C7"/>
    <w:rsid w:val="007F2E43"/>
    <w:rsid w:val="007F2F6F"/>
    <w:rsid w:val="007F5D2B"/>
    <w:rsid w:val="008004E0"/>
    <w:rsid w:val="00807E3D"/>
    <w:rsid w:val="00810CCC"/>
    <w:rsid w:val="00811995"/>
    <w:rsid w:val="008124D5"/>
    <w:rsid w:val="00824C79"/>
    <w:rsid w:val="00842FC1"/>
    <w:rsid w:val="00843530"/>
    <w:rsid w:val="0084479D"/>
    <w:rsid w:val="00855F15"/>
    <w:rsid w:val="00857422"/>
    <w:rsid w:val="008602A3"/>
    <w:rsid w:val="0086489A"/>
    <w:rsid w:val="00864C83"/>
    <w:rsid w:val="008669C7"/>
    <w:rsid w:val="00874487"/>
    <w:rsid w:val="00874C7C"/>
    <w:rsid w:val="0088145C"/>
    <w:rsid w:val="00882345"/>
    <w:rsid w:val="0088383F"/>
    <w:rsid w:val="008875A7"/>
    <w:rsid w:val="00887F12"/>
    <w:rsid w:val="00890E0C"/>
    <w:rsid w:val="0089211D"/>
    <w:rsid w:val="008A01AD"/>
    <w:rsid w:val="008A698B"/>
    <w:rsid w:val="008B0F99"/>
    <w:rsid w:val="008B3729"/>
    <w:rsid w:val="008B6C32"/>
    <w:rsid w:val="008B6D12"/>
    <w:rsid w:val="008C32E6"/>
    <w:rsid w:val="008C3E82"/>
    <w:rsid w:val="008C4352"/>
    <w:rsid w:val="008C640C"/>
    <w:rsid w:val="008D24B1"/>
    <w:rsid w:val="008D5C9E"/>
    <w:rsid w:val="008D6903"/>
    <w:rsid w:val="008D7217"/>
    <w:rsid w:val="008E0077"/>
    <w:rsid w:val="008E31B2"/>
    <w:rsid w:val="008E57C2"/>
    <w:rsid w:val="008E6130"/>
    <w:rsid w:val="008F5285"/>
    <w:rsid w:val="008F66B6"/>
    <w:rsid w:val="00905B6E"/>
    <w:rsid w:val="009148A6"/>
    <w:rsid w:val="009201F5"/>
    <w:rsid w:val="009219CD"/>
    <w:rsid w:val="00926A8A"/>
    <w:rsid w:val="00926ADE"/>
    <w:rsid w:val="0093412C"/>
    <w:rsid w:val="009404E0"/>
    <w:rsid w:val="00947403"/>
    <w:rsid w:val="0095501B"/>
    <w:rsid w:val="009571A4"/>
    <w:rsid w:val="00962D0F"/>
    <w:rsid w:val="00963430"/>
    <w:rsid w:val="00966A70"/>
    <w:rsid w:val="0097488A"/>
    <w:rsid w:val="009779F7"/>
    <w:rsid w:val="009849CE"/>
    <w:rsid w:val="00985884"/>
    <w:rsid w:val="009865E5"/>
    <w:rsid w:val="00990C26"/>
    <w:rsid w:val="0099736E"/>
    <w:rsid w:val="009977BB"/>
    <w:rsid w:val="009A2F37"/>
    <w:rsid w:val="009A3CC6"/>
    <w:rsid w:val="009A73E1"/>
    <w:rsid w:val="009B278D"/>
    <w:rsid w:val="009B5217"/>
    <w:rsid w:val="009B7302"/>
    <w:rsid w:val="009C4D26"/>
    <w:rsid w:val="009D1B79"/>
    <w:rsid w:val="009D72E8"/>
    <w:rsid w:val="009E0F09"/>
    <w:rsid w:val="009E65F2"/>
    <w:rsid w:val="009E7CF8"/>
    <w:rsid w:val="009F3010"/>
    <w:rsid w:val="009F33D9"/>
    <w:rsid w:val="009F3D13"/>
    <w:rsid w:val="009F6387"/>
    <w:rsid w:val="00A028DF"/>
    <w:rsid w:val="00A02D19"/>
    <w:rsid w:val="00A0420B"/>
    <w:rsid w:val="00A06367"/>
    <w:rsid w:val="00A065D2"/>
    <w:rsid w:val="00A165D2"/>
    <w:rsid w:val="00A1693E"/>
    <w:rsid w:val="00A23DA4"/>
    <w:rsid w:val="00A32F46"/>
    <w:rsid w:val="00A34996"/>
    <w:rsid w:val="00A3602A"/>
    <w:rsid w:val="00A45F70"/>
    <w:rsid w:val="00A51456"/>
    <w:rsid w:val="00A52B7C"/>
    <w:rsid w:val="00A56F95"/>
    <w:rsid w:val="00A65F0E"/>
    <w:rsid w:val="00A67935"/>
    <w:rsid w:val="00A863D1"/>
    <w:rsid w:val="00A90523"/>
    <w:rsid w:val="00A92428"/>
    <w:rsid w:val="00A93423"/>
    <w:rsid w:val="00A94E15"/>
    <w:rsid w:val="00A9505B"/>
    <w:rsid w:val="00AA2491"/>
    <w:rsid w:val="00AA3440"/>
    <w:rsid w:val="00AA4C41"/>
    <w:rsid w:val="00AA7BEB"/>
    <w:rsid w:val="00AB02AF"/>
    <w:rsid w:val="00AB0D1D"/>
    <w:rsid w:val="00AB1B50"/>
    <w:rsid w:val="00AB2FF2"/>
    <w:rsid w:val="00AB34A3"/>
    <w:rsid w:val="00AC288F"/>
    <w:rsid w:val="00AC2E19"/>
    <w:rsid w:val="00AD3919"/>
    <w:rsid w:val="00AD56AA"/>
    <w:rsid w:val="00AD588B"/>
    <w:rsid w:val="00AD683F"/>
    <w:rsid w:val="00AE1DE3"/>
    <w:rsid w:val="00AE2D63"/>
    <w:rsid w:val="00AE5A29"/>
    <w:rsid w:val="00AE5DBA"/>
    <w:rsid w:val="00AE7372"/>
    <w:rsid w:val="00AF1006"/>
    <w:rsid w:val="00AF1608"/>
    <w:rsid w:val="00AF179F"/>
    <w:rsid w:val="00AF2B15"/>
    <w:rsid w:val="00B03853"/>
    <w:rsid w:val="00B057FD"/>
    <w:rsid w:val="00B103D8"/>
    <w:rsid w:val="00B13A41"/>
    <w:rsid w:val="00B15F8D"/>
    <w:rsid w:val="00B2289A"/>
    <w:rsid w:val="00B24561"/>
    <w:rsid w:val="00B27BEF"/>
    <w:rsid w:val="00B313BE"/>
    <w:rsid w:val="00B32683"/>
    <w:rsid w:val="00B333C1"/>
    <w:rsid w:val="00B35C69"/>
    <w:rsid w:val="00B4366B"/>
    <w:rsid w:val="00B6059C"/>
    <w:rsid w:val="00B63AE4"/>
    <w:rsid w:val="00B63EAD"/>
    <w:rsid w:val="00B66CDB"/>
    <w:rsid w:val="00B75E42"/>
    <w:rsid w:val="00B760C1"/>
    <w:rsid w:val="00B76F65"/>
    <w:rsid w:val="00B7768B"/>
    <w:rsid w:val="00B80505"/>
    <w:rsid w:val="00B80D6F"/>
    <w:rsid w:val="00B87BDF"/>
    <w:rsid w:val="00B900D2"/>
    <w:rsid w:val="00B93E5F"/>
    <w:rsid w:val="00BA1BC7"/>
    <w:rsid w:val="00BA1C30"/>
    <w:rsid w:val="00BA57CE"/>
    <w:rsid w:val="00BB0AF6"/>
    <w:rsid w:val="00BB14FB"/>
    <w:rsid w:val="00BB511D"/>
    <w:rsid w:val="00BB531E"/>
    <w:rsid w:val="00BC57AB"/>
    <w:rsid w:val="00BC5ADD"/>
    <w:rsid w:val="00BC6254"/>
    <w:rsid w:val="00BD09CE"/>
    <w:rsid w:val="00BD268C"/>
    <w:rsid w:val="00BD275D"/>
    <w:rsid w:val="00BD49C7"/>
    <w:rsid w:val="00BD4A2F"/>
    <w:rsid w:val="00BE0043"/>
    <w:rsid w:val="00BE0C11"/>
    <w:rsid w:val="00BE2224"/>
    <w:rsid w:val="00BE3C68"/>
    <w:rsid w:val="00BF3470"/>
    <w:rsid w:val="00C0093A"/>
    <w:rsid w:val="00C02F95"/>
    <w:rsid w:val="00C100A9"/>
    <w:rsid w:val="00C14437"/>
    <w:rsid w:val="00C176A0"/>
    <w:rsid w:val="00C21EFC"/>
    <w:rsid w:val="00C22359"/>
    <w:rsid w:val="00C320CA"/>
    <w:rsid w:val="00C325F1"/>
    <w:rsid w:val="00C43038"/>
    <w:rsid w:val="00C46D37"/>
    <w:rsid w:val="00C5784F"/>
    <w:rsid w:val="00C60AFB"/>
    <w:rsid w:val="00C67BE7"/>
    <w:rsid w:val="00C77C51"/>
    <w:rsid w:val="00C823D4"/>
    <w:rsid w:val="00C83007"/>
    <w:rsid w:val="00C83382"/>
    <w:rsid w:val="00C83D0C"/>
    <w:rsid w:val="00C849A6"/>
    <w:rsid w:val="00C91F7D"/>
    <w:rsid w:val="00C942AF"/>
    <w:rsid w:val="00CA00F1"/>
    <w:rsid w:val="00CA4A9E"/>
    <w:rsid w:val="00CA776F"/>
    <w:rsid w:val="00CB2392"/>
    <w:rsid w:val="00CC0592"/>
    <w:rsid w:val="00CC4DAC"/>
    <w:rsid w:val="00CC6219"/>
    <w:rsid w:val="00CD403B"/>
    <w:rsid w:val="00CD4F77"/>
    <w:rsid w:val="00CE3171"/>
    <w:rsid w:val="00CE4685"/>
    <w:rsid w:val="00CE4F12"/>
    <w:rsid w:val="00CE691D"/>
    <w:rsid w:val="00CF02C4"/>
    <w:rsid w:val="00CF6061"/>
    <w:rsid w:val="00CF63DC"/>
    <w:rsid w:val="00D00334"/>
    <w:rsid w:val="00D00F70"/>
    <w:rsid w:val="00D1255E"/>
    <w:rsid w:val="00D2135A"/>
    <w:rsid w:val="00D27246"/>
    <w:rsid w:val="00D3138E"/>
    <w:rsid w:val="00D345B9"/>
    <w:rsid w:val="00D35A5F"/>
    <w:rsid w:val="00D442C3"/>
    <w:rsid w:val="00D51C31"/>
    <w:rsid w:val="00D53FC5"/>
    <w:rsid w:val="00D57428"/>
    <w:rsid w:val="00D634E3"/>
    <w:rsid w:val="00D66201"/>
    <w:rsid w:val="00D7284B"/>
    <w:rsid w:val="00D76FBE"/>
    <w:rsid w:val="00D86BB9"/>
    <w:rsid w:val="00D9424C"/>
    <w:rsid w:val="00D9514E"/>
    <w:rsid w:val="00D95A19"/>
    <w:rsid w:val="00D961DF"/>
    <w:rsid w:val="00D96958"/>
    <w:rsid w:val="00D97969"/>
    <w:rsid w:val="00DA4188"/>
    <w:rsid w:val="00DA5D60"/>
    <w:rsid w:val="00DB04EB"/>
    <w:rsid w:val="00DB4E15"/>
    <w:rsid w:val="00DB6188"/>
    <w:rsid w:val="00DC5BCC"/>
    <w:rsid w:val="00DD2EC7"/>
    <w:rsid w:val="00DD7292"/>
    <w:rsid w:val="00DE0375"/>
    <w:rsid w:val="00DE1B90"/>
    <w:rsid w:val="00E0102B"/>
    <w:rsid w:val="00E025BB"/>
    <w:rsid w:val="00E05D60"/>
    <w:rsid w:val="00E06E19"/>
    <w:rsid w:val="00E07478"/>
    <w:rsid w:val="00E1691B"/>
    <w:rsid w:val="00E25042"/>
    <w:rsid w:val="00E378A3"/>
    <w:rsid w:val="00E41469"/>
    <w:rsid w:val="00E417D9"/>
    <w:rsid w:val="00E4541D"/>
    <w:rsid w:val="00E47B7A"/>
    <w:rsid w:val="00E671B8"/>
    <w:rsid w:val="00E673E2"/>
    <w:rsid w:val="00E70739"/>
    <w:rsid w:val="00E710B4"/>
    <w:rsid w:val="00E75B98"/>
    <w:rsid w:val="00E92319"/>
    <w:rsid w:val="00E945C8"/>
    <w:rsid w:val="00E96FD6"/>
    <w:rsid w:val="00EA51B5"/>
    <w:rsid w:val="00EB2F3A"/>
    <w:rsid w:val="00ED1FD0"/>
    <w:rsid w:val="00EE3BB3"/>
    <w:rsid w:val="00EE7539"/>
    <w:rsid w:val="00EF243E"/>
    <w:rsid w:val="00EF765C"/>
    <w:rsid w:val="00F055EC"/>
    <w:rsid w:val="00F0798E"/>
    <w:rsid w:val="00F1120D"/>
    <w:rsid w:val="00F12CE6"/>
    <w:rsid w:val="00F13077"/>
    <w:rsid w:val="00F13F82"/>
    <w:rsid w:val="00F21B24"/>
    <w:rsid w:val="00F22221"/>
    <w:rsid w:val="00F228A0"/>
    <w:rsid w:val="00F2301D"/>
    <w:rsid w:val="00F274F1"/>
    <w:rsid w:val="00F4477A"/>
    <w:rsid w:val="00F501CC"/>
    <w:rsid w:val="00F51229"/>
    <w:rsid w:val="00F55EAD"/>
    <w:rsid w:val="00F61DEE"/>
    <w:rsid w:val="00F71843"/>
    <w:rsid w:val="00F735D1"/>
    <w:rsid w:val="00F7607C"/>
    <w:rsid w:val="00F77F80"/>
    <w:rsid w:val="00F847B2"/>
    <w:rsid w:val="00F9696C"/>
    <w:rsid w:val="00FA1E21"/>
    <w:rsid w:val="00FA1E6F"/>
    <w:rsid w:val="00FB237A"/>
    <w:rsid w:val="00FB4405"/>
    <w:rsid w:val="00FB6BEC"/>
    <w:rsid w:val="00FC1D09"/>
    <w:rsid w:val="00FE53FE"/>
    <w:rsid w:val="00FE7C81"/>
    <w:rsid w:val="00FF057F"/>
    <w:rsid w:val="00FF5FB8"/>
    <w:rsid w:val="0B7C4B64"/>
    <w:rsid w:val="0DFEF096"/>
    <w:rsid w:val="1CCEBF37"/>
    <w:rsid w:val="20A42E4E"/>
    <w:rsid w:val="268B86B3"/>
    <w:rsid w:val="28364152"/>
    <w:rsid w:val="2884DAB9"/>
    <w:rsid w:val="2ED508D4"/>
    <w:rsid w:val="44D02D71"/>
    <w:rsid w:val="4DB1FD4A"/>
    <w:rsid w:val="51D83616"/>
    <w:rsid w:val="5546AEAA"/>
    <w:rsid w:val="56F87A03"/>
    <w:rsid w:val="63A7CF16"/>
    <w:rsid w:val="6B202D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D3DBF"/>
  <w15:chartTrackingRefBased/>
  <w15:docId w15:val="{03380106-5AF8-4F93-899B-40816188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010"/>
    <w:pPr>
      <w:widowControl w:val="0"/>
      <w:autoSpaceDE w:val="0"/>
      <w:autoSpaceDN w:val="0"/>
      <w:spacing w:before="120" w:after="120" w:line="240" w:lineRule="auto"/>
    </w:pPr>
    <w:rPr>
      <w:rFonts w:ascii="Avenir Next" w:eastAsia="AvenirNext LT Pro Bold" w:hAnsi="Avenir Next" w:cs="AvenirNext LT Pro Bold"/>
      <w:color w:val="575F61"/>
      <w:kern w:val="0"/>
      <w:szCs w:val="22"/>
      <w:lang w:val="en-GB"/>
      <w14:ligatures w14:val="none"/>
    </w:rPr>
  </w:style>
  <w:style w:type="paragraph" w:styleId="Heading1">
    <w:name w:val="heading 1"/>
    <w:next w:val="BodyText"/>
    <w:link w:val="Heading1Char"/>
    <w:autoRedefine/>
    <w:uiPriority w:val="9"/>
    <w:qFormat/>
    <w:rsid w:val="009F3010"/>
    <w:pPr>
      <w:widowControl w:val="0"/>
      <w:autoSpaceDE w:val="0"/>
      <w:autoSpaceDN w:val="0"/>
      <w:spacing w:before="480" w:after="120" w:line="520" w:lineRule="exact"/>
      <w:outlineLvl w:val="0"/>
    </w:pPr>
    <w:rPr>
      <w:rFonts w:ascii="Avenir Next Demi Bold" w:eastAsia="AvenirNextLTPro-Demi" w:hAnsi="Avenir Next Demi Bold" w:cs="AvenirNextLTPro-Demi"/>
      <w:b/>
      <w:bCs/>
      <w:color w:val="1598CB"/>
      <w:kern w:val="0"/>
      <w:sz w:val="48"/>
      <w:szCs w:val="48"/>
      <w14:ligatures w14:val="none"/>
    </w:rPr>
  </w:style>
  <w:style w:type="paragraph" w:styleId="Heading2">
    <w:name w:val="heading 2"/>
    <w:basedOn w:val="Heading1"/>
    <w:next w:val="BodyText"/>
    <w:link w:val="Heading2Char"/>
    <w:autoRedefine/>
    <w:uiPriority w:val="9"/>
    <w:unhideWhenUsed/>
    <w:qFormat/>
    <w:rsid w:val="00CE4F12"/>
    <w:pPr>
      <w:spacing w:before="12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9F3010"/>
    <w:pPr>
      <w:spacing w:before="240"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9F3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010"/>
    <w:rPr>
      <w:rFonts w:ascii="Avenir Next Demi Bold" w:eastAsia="AvenirNextLTPro-Demi" w:hAnsi="Avenir Next Demi Bold" w:cs="AvenirNextLTPro-Demi"/>
      <w:b/>
      <w:bCs/>
      <w:color w:val="1598CB"/>
      <w:kern w:val="0"/>
      <w:sz w:val="48"/>
      <w:szCs w:val="48"/>
      <w14:ligatures w14:val="none"/>
    </w:rPr>
  </w:style>
  <w:style w:type="character" w:customStyle="1" w:styleId="Heading2Char">
    <w:name w:val="Heading 2 Char"/>
    <w:basedOn w:val="DefaultParagraphFont"/>
    <w:link w:val="Heading2"/>
    <w:uiPriority w:val="9"/>
    <w:rsid w:val="00CE4F12"/>
    <w:rPr>
      <w:rFonts w:ascii="Avenir Next Demi Bold" w:eastAsia="AvenirNextLTPro-Demi" w:hAnsi="Avenir Next Demi Bold" w:cs="AvenirNextLTPro-Demi"/>
      <w:b/>
      <w:color w:val="248EB9"/>
      <w:spacing w:val="-6"/>
      <w:kern w:val="0"/>
      <w:sz w:val="36"/>
      <w:szCs w:val="36"/>
      <w14:ligatures w14:val="none"/>
    </w:rPr>
  </w:style>
  <w:style w:type="character" w:customStyle="1" w:styleId="Heading3Char">
    <w:name w:val="Heading 3 Char"/>
    <w:basedOn w:val="DefaultParagraphFont"/>
    <w:link w:val="Heading3"/>
    <w:uiPriority w:val="9"/>
    <w:rsid w:val="009F3010"/>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9F3010"/>
    <w:rPr>
      <w:rFonts w:ascii="Avenir Next" w:eastAsiaTheme="majorEastAsia" w:hAnsi="Avenir Next" w:cstheme="majorBidi"/>
      <w:i/>
      <w:iCs/>
      <w:color w:val="0F4761" w:themeColor="accent1" w:themeShade="BF"/>
      <w:kern w:val="0"/>
      <w:szCs w:val="22"/>
      <w:lang w:val="en-GB"/>
      <w14:ligatures w14:val="none"/>
    </w:rPr>
  </w:style>
  <w:style w:type="character" w:customStyle="1" w:styleId="Heading5Char">
    <w:name w:val="Heading 5 Char"/>
    <w:basedOn w:val="DefaultParagraphFont"/>
    <w:link w:val="Heading5"/>
    <w:uiPriority w:val="9"/>
    <w:semiHidden/>
    <w:rsid w:val="009F3010"/>
    <w:rPr>
      <w:rFonts w:ascii="Avenir Next" w:eastAsiaTheme="majorEastAsia" w:hAnsi="Avenir Next" w:cstheme="majorBidi"/>
      <w:color w:val="0F4761" w:themeColor="accent1" w:themeShade="BF"/>
      <w:kern w:val="0"/>
      <w:szCs w:val="22"/>
      <w:lang w:val="en-GB"/>
      <w14:ligatures w14:val="none"/>
    </w:rPr>
  </w:style>
  <w:style w:type="character" w:customStyle="1" w:styleId="Heading6Char">
    <w:name w:val="Heading 6 Char"/>
    <w:basedOn w:val="DefaultParagraphFont"/>
    <w:link w:val="Heading6"/>
    <w:uiPriority w:val="9"/>
    <w:semiHidden/>
    <w:rsid w:val="009F3010"/>
    <w:rPr>
      <w:rFonts w:ascii="Avenir Next" w:eastAsiaTheme="majorEastAsia" w:hAnsi="Avenir Next" w:cstheme="majorBidi"/>
      <w:i/>
      <w:iCs/>
      <w:color w:val="595959" w:themeColor="text1" w:themeTint="A6"/>
      <w:kern w:val="0"/>
      <w:szCs w:val="22"/>
      <w:lang w:val="en-GB"/>
      <w14:ligatures w14:val="none"/>
    </w:rPr>
  </w:style>
  <w:style w:type="character" w:customStyle="1" w:styleId="Heading7Char">
    <w:name w:val="Heading 7 Char"/>
    <w:basedOn w:val="DefaultParagraphFont"/>
    <w:link w:val="Heading7"/>
    <w:uiPriority w:val="9"/>
    <w:semiHidden/>
    <w:rsid w:val="009F3010"/>
    <w:rPr>
      <w:rFonts w:ascii="Avenir Next" w:eastAsiaTheme="majorEastAsia" w:hAnsi="Avenir Next" w:cstheme="majorBidi"/>
      <w:color w:val="595959" w:themeColor="text1" w:themeTint="A6"/>
      <w:kern w:val="0"/>
      <w:szCs w:val="22"/>
      <w:lang w:val="en-GB"/>
      <w14:ligatures w14:val="none"/>
    </w:rPr>
  </w:style>
  <w:style w:type="character" w:customStyle="1" w:styleId="Heading8Char">
    <w:name w:val="Heading 8 Char"/>
    <w:basedOn w:val="DefaultParagraphFont"/>
    <w:link w:val="Heading8"/>
    <w:uiPriority w:val="9"/>
    <w:semiHidden/>
    <w:rsid w:val="009F3010"/>
    <w:rPr>
      <w:rFonts w:ascii="Avenir Next" w:eastAsiaTheme="majorEastAsia" w:hAnsi="Avenir Next" w:cstheme="majorBidi"/>
      <w:i/>
      <w:iCs/>
      <w:color w:val="272727" w:themeColor="text1" w:themeTint="D8"/>
      <w:kern w:val="0"/>
      <w:szCs w:val="22"/>
      <w:lang w:val="en-GB"/>
      <w14:ligatures w14:val="none"/>
    </w:rPr>
  </w:style>
  <w:style w:type="character" w:customStyle="1" w:styleId="Heading9Char">
    <w:name w:val="Heading 9 Char"/>
    <w:basedOn w:val="DefaultParagraphFont"/>
    <w:link w:val="Heading9"/>
    <w:uiPriority w:val="9"/>
    <w:semiHidden/>
    <w:rsid w:val="009F3010"/>
    <w:rPr>
      <w:rFonts w:ascii="Avenir Next" w:eastAsiaTheme="majorEastAsia" w:hAnsi="Avenir Next" w:cstheme="majorBidi"/>
      <w:color w:val="272727" w:themeColor="text1" w:themeTint="D8"/>
      <w:kern w:val="0"/>
      <w:szCs w:val="22"/>
      <w:lang w:val="en-GB"/>
      <w14:ligatures w14:val="none"/>
    </w:rPr>
  </w:style>
  <w:style w:type="paragraph" w:styleId="Title">
    <w:name w:val="Title"/>
    <w:basedOn w:val="Normal"/>
    <w:link w:val="TitleChar"/>
    <w:uiPriority w:val="10"/>
    <w:qFormat/>
    <w:rsid w:val="009F3010"/>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9F3010"/>
    <w:rPr>
      <w:rFonts w:ascii="Avenir Next Demi Bold" w:eastAsia="AvenirNextLTPro-Demi" w:hAnsi="Avenir Next Demi Bold" w:cs="AvenirNextLTPro-Demi"/>
      <w:b/>
      <w:bCs/>
      <w:spacing w:val="-14"/>
      <w:kern w:val="0"/>
      <w:sz w:val="56"/>
      <w:szCs w:val="56"/>
      <w:lang w:val="en-GB"/>
      <w14:ligatures w14:val="none"/>
    </w:rPr>
  </w:style>
  <w:style w:type="paragraph" w:styleId="Subtitle">
    <w:name w:val="Subtitle"/>
    <w:basedOn w:val="Normal"/>
    <w:next w:val="Normal"/>
    <w:link w:val="SubtitleChar"/>
    <w:uiPriority w:val="11"/>
    <w:qFormat/>
    <w:rsid w:val="009F301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F3010"/>
    <w:rPr>
      <w:rFonts w:eastAsiaTheme="minorEastAsia"/>
      <w:color w:val="5A5A5A" w:themeColor="text1" w:themeTint="A5"/>
      <w:spacing w:val="15"/>
      <w:kern w:val="0"/>
      <w:sz w:val="22"/>
      <w:szCs w:val="22"/>
      <w:lang w:val="en-GB"/>
      <w14:ligatures w14:val="none"/>
    </w:rPr>
  </w:style>
  <w:style w:type="paragraph" w:styleId="Quote">
    <w:name w:val="Quote"/>
    <w:basedOn w:val="Normal"/>
    <w:next w:val="Normal"/>
    <w:link w:val="QuoteChar"/>
    <w:uiPriority w:val="29"/>
    <w:qFormat/>
    <w:rsid w:val="009F3010"/>
    <w:pPr>
      <w:spacing w:before="160"/>
      <w:jc w:val="center"/>
    </w:pPr>
    <w:rPr>
      <w:i/>
      <w:iCs/>
      <w:color w:val="404040" w:themeColor="text1" w:themeTint="BF"/>
    </w:rPr>
  </w:style>
  <w:style w:type="character" w:customStyle="1" w:styleId="QuoteChar">
    <w:name w:val="Quote Char"/>
    <w:basedOn w:val="DefaultParagraphFont"/>
    <w:link w:val="Quote"/>
    <w:uiPriority w:val="29"/>
    <w:rsid w:val="009F3010"/>
    <w:rPr>
      <w:rFonts w:ascii="Avenir Next" w:eastAsia="AvenirNext LT Pro Bold" w:hAnsi="Avenir Next" w:cs="AvenirNext LT Pro Bold"/>
      <w:i/>
      <w:iCs/>
      <w:color w:val="404040" w:themeColor="text1" w:themeTint="BF"/>
      <w:kern w:val="0"/>
      <w:szCs w:val="22"/>
      <w:lang w:val="en-GB"/>
      <w14:ligatures w14:val="none"/>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0E09E3"/>
    <w:pPr>
      <w:widowControl/>
      <w:numPr>
        <w:numId w:val="41"/>
      </w:numPr>
      <w:autoSpaceDE/>
      <w:autoSpaceDN/>
      <w:spacing w:before="0" w:after="160" w:line="259" w:lineRule="auto"/>
      <w:contextualSpacing/>
    </w:pPr>
  </w:style>
  <w:style w:type="character" w:styleId="IntenseEmphasis">
    <w:name w:val="Intense Emphasis"/>
    <w:basedOn w:val="DefaultParagraphFont"/>
    <w:uiPriority w:val="21"/>
    <w:qFormat/>
    <w:rsid w:val="009F3010"/>
    <w:rPr>
      <w:i/>
      <w:iCs/>
      <w:color w:val="156082" w:themeColor="accent1"/>
    </w:rPr>
  </w:style>
  <w:style w:type="paragraph" w:styleId="IntenseQuote">
    <w:name w:val="Intense Quote"/>
    <w:basedOn w:val="Normal"/>
    <w:next w:val="Normal"/>
    <w:link w:val="IntenseQuoteChar"/>
    <w:uiPriority w:val="30"/>
    <w:qFormat/>
    <w:rsid w:val="009F301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F3010"/>
    <w:rPr>
      <w:rFonts w:ascii="Avenir Next" w:eastAsia="AvenirNext LT Pro Bold" w:hAnsi="Avenir Next" w:cs="AvenirNext LT Pro Bold"/>
      <w:i/>
      <w:iCs/>
      <w:color w:val="156082" w:themeColor="accent1"/>
      <w:kern w:val="0"/>
      <w:szCs w:val="22"/>
      <w:lang w:val="en-GB"/>
      <w14:ligatures w14:val="none"/>
    </w:rPr>
  </w:style>
  <w:style w:type="character" w:styleId="IntenseReference">
    <w:name w:val="Intense Reference"/>
    <w:basedOn w:val="DefaultParagraphFont"/>
    <w:uiPriority w:val="32"/>
    <w:qFormat/>
    <w:rsid w:val="009F3010"/>
    <w:rPr>
      <w:b/>
      <w:bCs/>
      <w:smallCaps/>
      <w:color w:val="156082" w:themeColor="accent1"/>
      <w:spacing w:val="5"/>
    </w:rPr>
  </w:style>
  <w:style w:type="paragraph" w:styleId="TOC1">
    <w:name w:val="toc 1"/>
    <w:basedOn w:val="Normal"/>
    <w:uiPriority w:val="39"/>
    <w:qFormat/>
    <w:rsid w:val="009F3010"/>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9F3010"/>
    <w:pPr>
      <w:widowControl/>
      <w:ind w:right="-48"/>
    </w:pPr>
    <w:rPr>
      <w:rFonts w:eastAsia="Times New Roman" w:cs="Calibri"/>
      <w:szCs w:val="24"/>
      <w:lang w:val="en-AU"/>
    </w:rPr>
  </w:style>
  <w:style w:type="character" w:customStyle="1" w:styleId="BodyTextChar">
    <w:name w:val="Body Text Char"/>
    <w:basedOn w:val="DefaultParagraphFont"/>
    <w:link w:val="BodyText"/>
    <w:uiPriority w:val="1"/>
    <w:rsid w:val="009F3010"/>
    <w:rPr>
      <w:rFonts w:ascii="Avenir Next" w:eastAsia="Times New Roman" w:hAnsi="Avenir Next" w:cs="Calibri"/>
      <w:color w:val="575F61"/>
      <w:kern w:val="0"/>
      <w14:ligatures w14:val="none"/>
    </w:rPr>
  </w:style>
  <w:style w:type="paragraph" w:customStyle="1" w:styleId="TableParagraph">
    <w:name w:val="Table Paragraph"/>
    <w:basedOn w:val="Normal"/>
    <w:uiPriority w:val="1"/>
    <w:qFormat/>
    <w:rsid w:val="009F3010"/>
    <w:rPr>
      <w:rFonts w:eastAsia="AvenirNextLTPro-Demi" w:cs="AvenirNextLTPro-Demi"/>
      <w:sz w:val="20"/>
    </w:rPr>
  </w:style>
  <w:style w:type="paragraph" w:customStyle="1" w:styleId="Bullets">
    <w:name w:val="Bullets"/>
    <w:basedOn w:val="BodyText"/>
    <w:next w:val="BodyText"/>
    <w:autoRedefine/>
    <w:qFormat/>
    <w:rsid w:val="009F3010"/>
    <w:pPr>
      <w:numPr>
        <w:numId w:val="1"/>
      </w:numPr>
      <w:spacing w:before="0"/>
      <w:ind w:left="426"/>
      <w:contextualSpacing/>
    </w:pPr>
  </w:style>
  <w:style w:type="paragraph" w:customStyle="1" w:styleId="Breakout">
    <w:name w:val="Breakout"/>
    <w:basedOn w:val="BodyText"/>
    <w:next w:val="BodyText"/>
    <w:autoRedefine/>
    <w:qFormat/>
    <w:rsid w:val="009F3010"/>
    <w:pPr>
      <w:spacing w:after="0" w:line="440" w:lineRule="exact"/>
    </w:pPr>
    <w:rPr>
      <w:i/>
      <w:iCs/>
      <w:spacing w:val="-2"/>
      <w:sz w:val="36"/>
      <w:szCs w:val="36"/>
    </w:rPr>
  </w:style>
  <w:style w:type="paragraph" w:styleId="TOCHeading">
    <w:name w:val="TOC Heading"/>
    <w:basedOn w:val="Heading1"/>
    <w:next w:val="Normal"/>
    <w:uiPriority w:val="39"/>
    <w:unhideWhenUsed/>
    <w:qFormat/>
    <w:rsid w:val="009F3010"/>
    <w:pPr>
      <w:keepNext/>
      <w:keepLines/>
      <w:widowControl/>
      <w:autoSpaceDE/>
      <w:autoSpaceDN/>
      <w:spacing w:after="0" w:line="276" w:lineRule="auto"/>
      <w:outlineLvl w:val="9"/>
    </w:pPr>
    <w:rPr>
      <w:rFonts w:asciiTheme="majorHAnsi" w:eastAsiaTheme="majorEastAsia" w:hAnsiTheme="majorHAnsi" w:cstheme="majorBidi"/>
      <w:color w:val="0F4761" w:themeColor="accent1" w:themeShade="BF"/>
      <w:sz w:val="28"/>
      <w:szCs w:val="28"/>
    </w:rPr>
  </w:style>
  <w:style w:type="paragraph" w:styleId="TOC2">
    <w:name w:val="toc 2"/>
    <w:basedOn w:val="Normal"/>
    <w:next w:val="Normal"/>
    <w:autoRedefine/>
    <w:uiPriority w:val="39"/>
    <w:unhideWhenUsed/>
    <w:rsid w:val="009F3010"/>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9F3010"/>
    <w:rPr>
      <w:rFonts w:ascii="AvenirNext LT Pro Regular" w:hAnsi="AvenirNext LT Pro Regular"/>
      <w:color w:val="467886" w:themeColor="hyperlink"/>
      <w:u w:val="single"/>
    </w:rPr>
  </w:style>
  <w:style w:type="paragraph" w:styleId="TOC3">
    <w:name w:val="toc 3"/>
    <w:basedOn w:val="Normal"/>
    <w:next w:val="Normal"/>
    <w:autoRedefine/>
    <w:uiPriority w:val="39"/>
    <w:unhideWhenUsed/>
    <w:rsid w:val="009F3010"/>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9F3010"/>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F3010"/>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F3010"/>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F3010"/>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F3010"/>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F3010"/>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9F3010"/>
    <w:pPr>
      <w:tabs>
        <w:tab w:val="center" w:pos="4513"/>
        <w:tab w:val="right" w:pos="9026"/>
      </w:tabs>
      <w:spacing w:before="0" w:after="0"/>
    </w:pPr>
  </w:style>
  <w:style w:type="character" w:customStyle="1" w:styleId="FooterChar">
    <w:name w:val="Footer Char"/>
    <w:basedOn w:val="DefaultParagraphFont"/>
    <w:link w:val="Footer"/>
    <w:uiPriority w:val="99"/>
    <w:rsid w:val="009F3010"/>
    <w:rPr>
      <w:rFonts w:ascii="Avenir Next" w:eastAsia="AvenirNext LT Pro Bold" w:hAnsi="Avenir Next" w:cs="AvenirNext LT Pro Bold"/>
      <w:color w:val="575F61"/>
      <w:kern w:val="0"/>
      <w:szCs w:val="22"/>
      <w:lang w:val="en-GB"/>
      <w14:ligatures w14:val="none"/>
    </w:rPr>
  </w:style>
  <w:style w:type="character" w:styleId="PageNumber">
    <w:name w:val="page number"/>
    <w:basedOn w:val="DefaultParagraphFont"/>
    <w:uiPriority w:val="99"/>
    <w:semiHidden/>
    <w:unhideWhenUsed/>
    <w:rsid w:val="009F3010"/>
    <w:rPr>
      <w:rFonts w:ascii="AvenirNext LT Pro Regular" w:hAnsi="AvenirNext LT Pro Regular"/>
    </w:rPr>
  </w:style>
  <w:style w:type="paragraph" w:styleId="Header">
    <w:name w:val="header"/>
    <w:basedOn w:val="Normal"/>
    <w:link w:val="HeaderChar"/>
    <w:uiPriority w:val="99"/>
    <w:unhideWhenUsed/>
    <w:rsid w:val="009F3010"/>
    <w:pPr>
      <w:tabs>
        <w:tab w:val="center" w:pos="4513"/>
        <w:tab w:val="right" w:pos="9026"/>
      </w:tabs>
      <w:spacing w:before="0" w:after="0"/>
    </w:pPr>
  </w:style>
  <w:style w:type="character" w:customStyle="1" w:styleId="HeaderChar">
    <w:name w:val="Header Char"/>
    <w:basedOn w:val="DefaultParagraphFont"/>
    <w:link w:val="Header"/>
    <w:uiPriority w:val="99"/>
    <w:rsid w:val="009F3010"/>
    <w:rPr>
      <w:rFonts w:ascii="Avenir Next" w:eastAsia="AvenirNext LT Pro Bold" w:hAnsi="Avenir Next" w:cs="AvenirNext LT Pro Bold"/>
      <w:color w:val="575F61"/>
      <w:kern w:val="0"/>
      <w:szCs w:val="22"/>
      <w:lang w:val="en-GB"/>
      <w14:ligatures w14:val="none"/>
    </w:rPr>
  </w:style>
  <w:style w:type="table" w:customStyle="1" w:styleId="Table">
    <w:name w:val="Table"/>
    <w:basedOn w:val="TableNormal"/>
    <w:uiPriority w:val="99"/>
    <w:rsid w:val="009F3010"/>
    <w:pPr>
      <w:spacing w:after="0" w:line="240" w:lineRule="auto"/>
    </w:pPr>
    <w:rPr>
      <w:rFonts w:ascii="Avenir Next" w:hAnsi="Avenir Next"/>
      <w:color w:val="575F61"/>
      <w:kern w:val="0"/>
      <w:sz w:val="20"/>
      <w:szCs w:val="22"/>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9F3010"/>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9F3010"/>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9F3010"/>
    <w:rPr>
      <w:sz w:val="16"/>
      <w:szCs w:val="16"/>
    </w:rPr>
  </w:style>
  <w:style w:type="paragraph" w:styleId="CommentText">
    <w:name w:val="annotation text"/>
    <w:basedOn w:val="Normal"/>
    <w:link w:val="CommentTextChar"/>
    <w:uiPriority w:val="99"/>
    <w:unhideWhenUsed/>
    <w:rsid w:val="009F3010"/>
    <w:rPr>
      <w:sz w:val="20"/>
      <w:szCs w:val="20"/>
    </w:rPr>
  </w:style>
  <w:style w:type="character" w:customStyle="1" w:styleId="CommentTextChar">
    <w:name w:val="Comment Text Char"/>
    <w:basedOn w:val="DefaultParagraphFont"/>
    <w:link w:val="CommentText"/>
    <w:uiPriority w:val="99"/>
    <w:rsid w:val="009F3010"/>
    <w:rPr>
      <w:rFonts w:ascii="Avenir Next" w:eastAsia="AvenirNext LT Pro Bold" w:hAnsi="Avenir Next" w:cs="AvenirNext LT Pro Bold"/>
      <w:color w:val="575F61"/>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F3010"/>
    <w:rPr>
      <w:b/>
      <w:bCs/>
    </w:rPr>
  </w:style>
  <w:style w:type="character" w:customStyle="1" w:styleId="CommentSubjectChar">
    <w:name w:val="Comment Subject Char"/>
    <w:basedOn w:val="CommentTextChar"/>
    <w:link w:val="CommentSubject"/>
    <w:uiPriority w:val="99"/>
    <w:semiHidden/>
    <w:rsid w:val="009F3010"/>
    <w:rPr>
      <w:rFonts w:ascii="Avenir Next" w:eastAsia="AvenirNext LT Pro Bold" w:hAnsi="Avenir Next" w:cs="AvenirNext LT Pro Bold"/>
      <w:b/>
      <w:bCs/>
      <w:color w:val="575F61"/>
      <w:kern w:val="0"/>
      <w:sz w:val="20"/>
      <w:szCs w:val="20"/>
      <w:lang w:val="en-GB"/>
      <w14:ligatures w14:val="none"/>
    </w:rPr>
  </w:style>
  <w:style w:type="paragraph" w:styleId="BalloonText">
    <w:name w:val="Balloon Text"/>
    <w:basedOn w:val="Normal"/>
    <w:link w:val="BalloonTextChar"/>
    <w:uiPriority w:val="99"/>
    <w:semiHidden/>
    <w:unhideWhenUsed/>
    <w:rsid w:val="009F301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010"/>
    <w:rPr>
      <w:rFonts w:ascii="Segoe UI" w:eastAsia="AvenirNext LT Pro Bold" w:hAnsi="Segoe UI" w:cs="Segoe UI"/>
      <w:color w:val="575F61"/>
      <w:kern w:val="0"/>
      <w:sz w:val="18"/>
      <w:szCs w:val="18"/>
      <w:lang w:val="en-GB"/>
      <w14:ligatures w14:val="none"/>
    </w:rPr>
  </w:style>
  <w:style w:type="paragraph" w:styleId="FootnoteText">
    <w:name w:val="footnote text"/>
    <w:basedOn w:val="Normal"/>
    <w:link w:val="FootnoteTextChar"/>
    <w:uiPriority w:val="99"/>
    <w:semiHidden/>
    <w:unhideWhenUsed/>
    <w:rsid w:val="009F3010"/>
    <w:pPr>
      <w:spacing w:before="0" w:after="0"/>
    </w:pPr>
    <w:rPr>
      <w:sz w:val="20"/>
      <w:szCs w:val="20"/>
    </w:rPr>
  </w:style>
  <w:style w:type="character" w:customStyle="1" w:styleId="FootnoteTextChar">
    <w:name w:val="Footnote Text Char"/>
    <w:basedOn w:val="DefaultParagraphFont"/>
    <w:link w:val="FootnoteText"/>
    <w:uiPriority w:val="99"/>
    <w:semiHidden/>
    <w:rsid w:val="009F3010"/>
    <w:rPr>
      <w:rFonts w:ascii="Avenir Next" w:eastAsia="AvenirNext LT Pro Bold" w:hAnsi="Avenir Next" w:cs="AvenirNext LT Pro Bold"/>
      <w:color w:val="575F61"/>
      <w:kern w:val="0"/>
      <w:sz w:val="20"/>
      <w:szCs w:val="20"/>
      <w:lang w:val="en-GB"/>
      <w14:ligatures w14:val="none"/>
    </w:rPr>
  </w:style>
  <w:style w:type="character" w:styleId="FootnoteReference">
    <w:name w:val="footnote reference"/>
    <w:basedOn w:val="DefaultParagraphFont"/>
    <w:uiPriority w:val="99"/>
    <w:semiHidden/>
    <w:unhideWhenUsed/>
    <w:rsid w:val="009F3010"/>
    <w:rPr>
      <w:vertAlign w:val="superscript"/>
    </w:rPr>
  </w:style>
  <w:style w:type="paragraph" w:styleId="Revision">
    <w:name w:val="Revision"/>
    <w:hidden/>
    <w:uiPriority w:val="99"/>
    <w:semiHidden/>
    <w:rsid w:val="009F3010"/>
    <w:pPr>
      <w:spacing w:after="0" w:line="240" w:lineRule="auto"/>
    </w:pPr>
    <w:rPr>
      <w:rFonts w:ascii="Avenir Next" w:eastAsia="AvenirNext LT Pro Bold" w:hAnsi="Avenir Next" w:cs="AvenirNext LT Pro Bold"/>
      <w:color w:val="575F61"/>
      <w:kern w:val="0"/>
      <w:szCs w:val="22"/>
      <w:lang w:val="en-US"/>
      <w14:ligatures w14:val="none"/>
    </w:rPr>
  </w:style>
  <w:style w:type="paragraph" w:customStyle="1" w:styleId="Default">
    <w:name w:val="Default"/>
    <w:rsid w:val="009F3010"/>
    <w:pPr>
      <w:autoSpaceDE w:val="0"/>
      <w:autoSpaceDN w:val="0"/>
      <w:adjustRightInd w:val="0"/>
      <w:spacing w:after="0" w:line="240" w:lineRule="auto"/>
    </w:pPr>
    <w:rPr>
      <w:rFonts w:ascii="Arial" w:hAnsi="Arial" w:cs="Arial"/>
      <w:color w:val="000000"/>
      <w:kern w:val="0"/>
      <w14:ligatures w14:val="none"/>
    </w:rPr>
  </w:style>
  <w:style w:type="paragraph" w:customStyle="1" w:styleId="Pa5">
    <w:name w:val="Pa5"/>
    <w:basedOn w:val="Default"/>
    <w:next w:val="Default"/>
    <w:uiPriority w:val="99"/>
    <w:rsid w:val="009F3010"/>
    <w:pPr>
      <w:spacing w:line="181" w:lineRule="atLeast"/>
    </w:pPr>
    <w:rPr>
      <w:color w:val="auto"/>
    </w:rPr>
  </w:style>
  <w:style w:type="paragraph" w:customStyle="1" w:styleId="Pa9">
    <w:name w:val="Pa9"/>
    <w:basedOn w:val="Default"/>
    <w:next w:val="Default"/>
    <w:uiPriority w:val="99"/>
    <w:rsid w:val="009F3010"/>
    <w:pPr>
      <w:spacing w:line="181" w:lineRule="atLeast"/>
    </w:pPr>
    <w:rPr>
      <w:color w:val="auto"/>
    </w:rPr>
  </w:style>
  <w:style w:type="paragraph" w:customStyle="1" w:styleId="Pa8">
    <w:name w:val="Pa8"/>
    <w:basedOn w:val="Default"/>
    <w:next w:val="Default"/>
    <w:uiPriority w:val="99"/>
    <w:rsid w:val="009F3010"/>
    <w:pPr>
      <w:spacing w:line="181" w:lineRule="atLeast"/>
    </w:pPr>
    <w:rPr>
      <w:color w:val="auto"/>
    </w:rPr>
  </w:style>
  <w:style w:type="table" w:styleId="PlainTable4">
    <w:name w:val="Plain Table 4"/>
    <w:basedOn w:val="TableNormal"/>
    <w:uiPriority w:val="44"/>
    <w:rsid w:val="009F3010"/>
    <w:pPr>
      <w:widowControl w:val="0"/>
      <w:autoSpaceDE w:val="0"/>
      <w:autoSpaceDN w:val="0"/>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9F3010"/>
    <w:pPr>
      <w:spacing w:line="181" w:lineRule="atLeast"/>
    </w:pPr>
    <w:rPr>
      <w:color w:val="auto"/>
    </w:rPr>
  </w:style>
  <w:style w:type="paragraph" w:customStyle="1" w:styleId="Pa28">
    <w:name w:val="Pa28"/>
    <w:basedOn w:val="Default"/>
    <w:next w:val="Default"/>
    <w:uiPriority w:val="99"/>
    <w:rsid w:val="009F3010"/>
    <w:pPr>
      <w:spacing w:line="201" w:lineRule="atLeast"/>
    </w:pPr>
    <w:rPr>
      <w:rFonts w:ascii="Sora" w:hAnsi="Sora" w:cstheme="minorBidi"/>
      <w:color w:val="auto"/>
    </w:rPr>
  </w:style>
  <w:style w:type="paragraph" w:customStyle="1" w:styleId="Pa7">
    <w:name w:val="Pa7"/>
    <w:basedOn w:val="Default"/>
    <w:next w:val="Default"/>
    <w:uiPriority w:val="99"/>
    <w:rsid w:val="009F3010"/>
    <w:pPr>
      <w:spacing w:line="181" w:lineRule="atLeast"/>
    </w:pPr>
    <w:rPr>
      <w:color w:val="auto"/>
    </w:rPr>
  </w:style>
  <w:style w:type="table" w:styleId="ListTable2">
    <w:name w:val="List Table 2"/>
    <w:basedOn w:val="TableNormal"/>
    <w:uiPriority w:val="47"/>
    <w:rsid w:val="009F3010"/>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9F3010"/>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9F3010"/>
    <w:pPr>
      <w:widowControl w:val="0"/>
      <w:autoSpaceDE w:val="0"/>
      <w:autoSpaceDN w:val="0"/>
      <w:spacing w:after="0" w:line="240" w:lineRule="auto"/>
    </w:pPr>
    <w:rPr>
      <w:color w:val="77206D" w:themeColor="accent5" w:themeShade="BF"/>
      <w:kern w:val="0"/>
      <w:sz w:val="22"/>
      <w:szCs w:val="22"/>
      <w:lang w:val="en-US"/>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A7">
    <w:name w:val="A7"/>
    <w:uiPriority w:val="99"/>
    <w:rsid w:val="009F3010"/>
    <w:rPr>
      <w:rFonts w:cs="Sora"/>
      <w:b/>
      <w:bCs/>
      <w:color w:val="000000"/>
      <w:sz w:val="20"/>
      <w:szCs w:val="20"/>
    </w:rPr>
  </w:style>
  <w:style w:type="character" w:styleId="Strong">
    <w:name w:val="Strong"/>
    <w:basedOn w:val="DefaultParagraphFont"/>
    <w:uiPriority w:val="22"/>
    <w:qFormat/>
    <w:rsid w:val="009F3010"/>
    <w:rPr>
      <w:b/>
      <w:bCs/>
    </w:rPr>
  </w:style>
  <w:style w:type="paragraph" w:styleId="NormalWeb">
    <w:name w:val="Normal (Web)"/>
    <w:basedOn w:val="Normal"/>
    <w:uiPriority w:val="99"/>
    <w:semiHidden/>
    <w:unhideWhenUsed/>
    <w:rsid w:val="009F3010"/>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9F3010"/>
    <w:rPr>
      <w:i/>
      <w:iCs/>
    </w:rPr>
  </w:style>
  <w:style w:type="character" w:styleId="UnresolvedMention">
    <w:name w:val="Unresolved Mention"/>
    <w:basedOn w:val="DefaultParagraphFont"/>
    <w:uiPriority w:val="99"/>
    <w:semiHidden/>
    <w:unhideWhenUsed/>
    <w:rsid w:val="009F3010"/>
    <w:rPr>
      <w:color w:val="605E5C"/>
      <w:shd w:val="clear" w:color="auto" w:fill="E1DFDD"/>
    </w:rPr>
  </w:style>
  <w:style w:type="paragraph" w:customStyle="1" w:styleId="Bulletindent">
    <w:name w:val="Bullet indent"/>
    <w:basedOn w:val="Bullets"/>
    <w:qFormat/>
    <w:rsid w:val="009F3010"/>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9F3010"/>
    <w:rPr>
      <w:color w:val="96607D" w:themeColor="followedHyperlink"/>
      <w:u w:val="single"/>
    </w:rPr>
  </w:style>
  <w:style w:type="paragraph" w:customStyle="1" w:styleId="EndNoteBibliographyTitle">
    <w:name w:val="EndNote Bibliography Title"/>
    <w:basedOn w:val="Normal"/>
    <w:link w:val="EndNoteBibliographyTitleChar"/>
    <w:rsid w:val="009F3010"/>
    <w:pPr>
      <w:spacing w:after="0"/>
      <w:jc w:val="center"/>
    </w:pPr>
    <w:rPr>
      <w:noProof/>
      <w:szCs w:val="24"/>
    </w:rPr>
  </w:style>
  <w:style w:type="character" w:customStyle="1" w:styleId="EndNoteBibliographyTitleChar">
    <w:name w:val="EndNote Bibliography Title Char"/>
    <w:basedOn w:val="BodyTextChar"/>
    <w:link w:val="EndNoteBibliographyTitle"/>
    <w:rsid w:val="009F3010"/>
    <w:rPr>
      <w:rFonts w:ascii="Avenir Next" w:eastAsia="AvenirNext LT Pro Bold" w:hAnsi="Avenir Next" w:cs="AvenirNext LT Pro Bold"/>
      <w:noProof/>
      <w:color w:val="575F61"/>
      <w:kern w:val="0"/>
      <w:lang w:val="en-GB"/>
      <w14:ligatures w14:val="none"/>
    </w:rPr>
  </w:style>
  <w:style w:type="paragraph" w:customStyle="1" w:styleId="EndNoteBibliography">
    <w:name w:val="EndNote Bibliography"/>
    <w:basedOn w:val="Normal"/>
    <w:link w:val="EndNoteBibliographyChar"/>
    <w:rsid w:val="009F3010"/>
    <w:rPr>
      <w:noProof/>
      <w:szCs w:val="24"/>
    </w:rPr>
  </w:style>
  <w:style w:type="character" w:customStyle="1" w:styleId="EndNoteBibliographyChar">
    <w:name w:val="EndNote Bibliography Char"/>
    <w:basedOn w:val="BodyTextChar"/>
    <w:link w:val="EndNoteBibliography"/>
    <w:rsid w:val="009F3010"/>
    <w:rPr>
      <w:rFonts w:ascii="Avenir Next" w:eastAsia="AvenirNext LT Pro Bold" w:hAnsi="Avenir Next" w:cs="AvenirNext LT Pro Bold"/>
      <w:noProof/>
      <w:color w:val="575F61"/>
      <w:kern w:val="0"/>
      <w:lang w:val="en-GB"/>
      <w14:ligatures w14:val="none"/>
    </w:rPr>
  </w:style>
  <w:style w:type="character" w:styleId="SubtleEmphasis">
    <w:name w:val="Subtle Emphasis"/>
    <w:basedOn w:val="DefaultParagraphFont"/>
    <w:uiPriority w:val="19"/>
    <w:qFormat/>
    <w:rsid w:val="009F3010"/>
    <w:rPr>
      <w:i/>
      <w:iCs/>
      <w:color w:val="404040" w:themeColor="text1" w:themeTint="BF"/>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0E09E3"/>
    <w:rPr>
      <w:rFonts w:ascii="Avenir Next" w:eastAsia="AvenirNext LT Pro Bold" w:hAnsi="Avenir Next" w:cs="AvenirNext LT Pro Bold"/>
      <w:color w:val="575F61"/>
      <w:kern w:val="0"/>
      <w:szCs w:val="22"/>
      <w:lang w:val="en-GB"/>
      <w14:ligatures w14:val="none"/>
    </w:rPr>
  </w:style>
  <w:style w:type="table" w:styleId="GridTable4-Accent1">
    <w:name w:val="Grid Table 4 Accent 1"/>
    <w:basedOn w:val="TableNormal"/>
    <w:uiPriority w:val="49"/>
    <w:rsid w:val="009F3010"/>
    <w:pPr>
      <w:spacing w:after="0" w:line="240" w:lineRule="auto"/>
    </w:pPr>
    <w:rPr>
      <w:sz w:val="22"/>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file:///\\tas-fileserv1\Program%20Share\SARC\2.%20Research,%20Policy%20and%20Advocacy\Projects\_Recurring%20projects\Housing%20Connect%20Snapshot\Quarterly%20Snapshots\2025%20Q1%20Sep%202025\4.%20Writing\Dec%202025%20revision\www.anglicare-tas.org.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anglicare-tas.org.au/resear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glicare-tas.org.au/social-action-research-centr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jones@anglicare-tas.org.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anglicare-tas.org.au/research/rental-affordability-snapshot-2026/" TargetMode="External"/><Relationship Id="rId13" Type="http://schemas.openxmlformats.org/officeDocument/2006/relationships/hyperlink" Target="https://www.homestasmania.com.au/housing-and-homelessness/social-housing/youth2independence" TargetMode="External"/><Relationship Id="rId3" Type="http://schemas.openxmlformats.org/officeDocument/2006/relationships/hyperlink" Target="https://www.homestasmania.com.au/__data/assets/pdf_file/0021/291540/Homes-Tasmania-Dashboard-March-2026.pdf" TargetMode="External"/><Relationship Id="rId7" Type="http://schemas.openxmlformats.org/officeDocument/2006/relationships/hyperlink" Target="https://www.servicesaustralia.gov.au/independent-for-youth-allowance-if-its-unreasonable-for-you-to-live-home" TargetMode="External"/><Relationship Id="rId12" Type="http://schemas.openxmlformats.org/officeDocument/2006/relationships/hyperlink" Target="https://www.homestasmania.com.au/housing-and-homelessness/social-housing/youth2independence" TargetMode="External"/><Relationship Id="rId2" Type="http://schemas.openxmlformats.org/officeDocument/2006/relationships/hyperlink" Target="https://www.anglicare-tas.org.au/research/rental-affordability-snapshot-2026/" TargetMode="External"/><Relationship Id="rId1" Type="http://schemas.openxmlformats.org/officeDocument/2006/relationships/hyperlink" Target="https://assets.tutas.org.au/uploads/2019/11/TasRents-Mar-26.pdf" TargetMode="External"/><Relationship Id="rId6" Type="http://schemas.openxmlformats.org/officeDocument/2006/relationships/hyperlink" Target="https://www.homestasmania.com.au/__data/assets/pdf_file/0031/251869/Social-Housing-Policy-January-2024.pdf" TargetMode="External"/><Relationship Id="rId11" Type="http://schemas.openxmlformats.org/officeDocument/2006/relationships/hyperlink" Target="https://www.premier.tas.gov.au/our-plan/taking-action-on-the-cost-of-living-and-providing-more-housing-options-for-tasmanians/making-it-easier-for-tasmanians-to-own-their-own-home-5-short-stay-levy" TargetMode="External"/><Relationship Id="rId5" Type="http://schemas.openxmlformats.org/officeDocument/2006/relationships/hyperlink" Target="https://www.homestasmania.com.au/__data/assets/pdf_file/0021/291540/Homes-Tasmania-Dashboard-March-2026.pdf" TargetMode="External"/><Relationship Id="rId10" Type="http://schemas.openxmlformats.org/officeDocument/2006/relationships/hyperlink" Target="https://www.premier.tas.gov.au/latest-news/2026/april/short-stay-levy-bill-2026-tabled-in-parliament" TargetMode="External"/><Relationship Id="rId4" Type="http://schemas.openxmlformats.org/officeDocument/2006/relationships/hyperlink" Target="https://www.homestasmania.com.au/__data/assets/pdf_file/0027/284148/Homes-Tasmania-Dashboard-March-2025.pdf" TargetMode="External"/><Relationship Id="rId9" Type="http://schemas.openxmlformats.org/officeDocument/2006/relationships/hyperlink" Target="https://www.anglicare-tas.org.au/research/rental-affordability-snapshot-202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Program%20Share\SARC\2.%20Research,%20Policy,%20Advocacy\Projects\_Recurrent\HCFD%20Snapshot\202526%20Q3\Writing\HCFDS%20March%20quarter%202026%20charts%20for%20design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Program%20Share\SARC\2.%20Research,%20Policy,%20Advocacy\Projects\_Recurrent\HCFD%20Snapshot\202526%20Q3\Data%20and%20analysis\Young%20people%2016-17%20years\Data%20analysis\YP%2016-17%20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Program%20Share\SARC\2.%20Research,%20Policy,%20Advocacy\Projects\_Recurrent\HCFD%20Snapshot\202526%20Q3\Writing\HCFDS%20March%20quarter%202026%20charts%20for%20designer.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Key needs identified and support provided for the quarter, 1 January to 31 March 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'Figure 1'!$B$9</c:f>
              <c:strCache>
                <c:ptCount val="1"/>
                <c:pt idx="0">
                  <c:v>Service or referral provided</c:v>
                </c:pt>
              </c:strCache>
            </c:strRef>
          </c:tx>
          <c:spPr>
            <a:solidFill>
              <a:schemeClr val="accent1"/>
            </a:solidFill>
            <a:ln>
              <a:noFill/>
            </a:ln>
            <a:effectLst/>
          </c:spPr>
          <c:invertIfNegative val="0"/>
          <c:dLbls>
            <c:delete val="1"/>
          </c:dLbls>
          <c:cat>
            <c:strRef>
              <c:f>'Figure 1'!$A$10:$A$19</c:f>
              <c:strCache>
                <c:ptCount val="10"/>
                <c:pt idx="0">
                  <c:v>Employment assistance</c:v>
                </c:pt>
                <c:pt idx="1">
                  <c:v>Assistance to sustain tenancy or prevent tenancy failure or eviction</c:v>
                </c:pt>
                <c:pt idx="2">
                  <c:v>Financial information</c:v>
                </c:pt>
                <c:pt idx="3">
                  <c:v>Material aid/brokerage</c:v>
                </c:pt>
                <c:pt idx="4">
                  <c:v>Advocacy/liaison on behalf of client</c:v>
                </c:pt>
                <c:pt idx="5">
                  <c:v>Short term or emergency accommodation</c:v>
                </c:pt>
                <c:pt idx="6">
                  <c:v>Medium term/transitional housing</c:v>
                </c:pt>
                <c:pt idx="7">
                  <c:v>Long term housing</c:v>
                </c:pt>
                <c:pt idx="8">
                  <c:v>Other basic assistance</c:v>
                </c:pt>
                <c:pt idx="9">
                  <c:v>Advice/information</c:v>
                </c:pt>
              </c:strCache>
            </c:strRef>
          </c:cat>
          <c:val>
            <c:numRef>
              <c:f>'Figure 1'!$B$10:$B$19</c:f>
              <c:numCache>
                <c:formatCode>General</c:formatCode>
                <c:ptCount val="10"/>
                <c:pt idx="0">
                  <c:v>18</c:v>
                </c:pt>
                <c:pt idx="1">
                  <c:v>25</c:v>
                </c:pt>
                <c:pt idx="2">
                  <c:v>95</c:v>
                </c:pt>
                <c:pt idx="3">
                  <c:v>154</c:v>
                </c:pt>
                <c:pt idx="4">
                  <c:v>306</c:v>
                </c:pt>
                <c:pt idx="5">
                  <c:v>88</c:v>
                </c:pt>
                <c:pt idx="6">
                  <c:v>65</c:v>
                </c:pt>
                <c:pt idx="7">
                  <c:v>147</c:v>
                </c:pt>
                <c:pt idx="8">
                  <c:v>1672</c:v>
                </c:pt>
                <c:pt idx="9">
                  <c:v>1680</c:v>
                </c:pt>
              </c:numCache>
            </c:numRef>
          </c:val>
          <c:extLst>
            <c:ext xmlns:c16="http://schemas.microsoft.com/office/drawing/2014/chart" uri="{C3380CC4-5D6E-409C-BE32-E72D297353CC}">
              <c16:uniqueId val="{00000000-AFB1-4F09-8BE5-ACDBD06CC8BA}"/>
            </c:ext>
          </c:extLst>
        </c:ser>
        <c:ser>
          <c:idx val="1"/>
          <c:order val="1"/>
          <c:tx>
            <c:strRef>
              <c:f>'Figure 1'!$C$9</c:f>
              <c:strCache>
                <c:ptCount val="1"/>
                <c:pt idx="0">
                  <c:v>Unmet need</c:v>
                </c:pt>
              </c:strCache>
            </c:strRef>
          </c:tx>
          <c:spPr>
            <a:solidFill>
              <a:schemeClr val="accent2"/>
            </a:solidFill>
            <a:ln>
              <a:noFill/>
            </a:ln>
            <a:effectLst/>
          </c:spPr>
          <c:invertIfNegative val="0"/>
          <c:dLbls>
            <c:delete val="1"/>
          </c:dLbls>
          <c:cat>
            <c:strRef>
              <c:f>'Figure 1'!$A$10:$A$19</c:f>
              <c:strCache>
                <c:ptCount val="10"/>
                <c:pt idx="0">
                  <c:v>Employment assistance</c:v>
                </c:pt>
                <c:pt idx="1">
                  <c:v>Assistance to sustain tenancy or prevent tenancy failure or eviction</c:v>
                </c:pt>
                <c:pt idx="2">
                  <c:v>Financial information</c:v>
                </c:pt>
                <c:pt idx="3">
                  <c:v>Material aid/brokerage</c:v>
                </c:pt>
                <c:pt idx="4">
                  <c:v>Advocacy/liaison on behalf of client</c:v>
                </c:pt>
                <c:pt idx="5">
                  <c:v>Short term or emergency accommodation</c:v>
                </c:pt>
                <c:pt idx="6">
                  <c:v>Medium term/transitional housing</c:v>
                </c:pt>
                <c:pt idx="7">
                  <c:v>Long term housing</c:v>
                </c:pt>
                <c:pt idx="8">
                  <c:v>Other basic assistance</c:v>
                </c:pt>
                <c:pt idx="9">
                  <c:v>Advice/information</c:v>
                </c:pt>
              </c:strCache>
            </c:strRef>
          </c:cat>
          <c:val>
            <c:numRef>
              <c:f>'Figure 1'!$C$10:$C$19</c:f>
              <c:numCache>
                <c:formatCode>General</c:formatCode>
                <c:ptCount val="10"/>
                <c:pt idx="0">
                  <c:v>39</c:v>
                </c:pt>
                <c:pt idx="1">
                  <c:v>100</c:v>
                </c:pt>
                <c:pt idx="2">
                  <c:v>62</c:v>
                </c:pt>
                <c:pt idx="3">
                  <c:v>39</c:v>
                </c:pt>
                <c:pt idx="4">
                  <c:v>22</c:v>
                </c:pt>
                <c:pt idx="5">
                  <c:v>427</c:v>
                </c:pt>
                <c:pt idx="6">
                  <c:v>549</c:v>
                </c:pt>
                <c:pt idx="7">
                  <c:v>1144</c:v>
                </c:pt>
                <c:pt idx="8">
                  <c:v>23</c:v>
                </c:pt>
                <c:pt idx="9">
                  <c:v>0</c:v>
                </c:pt>
              </c:numCache>
            </c:numRef>
          </c:val>
          <c:extLst>
            <c:ext xmlns:c16="http://schemas.microsoft.com/office/drawing/2014/chart" uri="{C3380CC4-5D6E-409C-BE32-E72D297353CC}">
              <c16:uniqueId val="{00000001-AFB1-4F09-8BE5-ACDBD06CC8BA}"/>
            </c:ext>
          </c:extLst>
        </c:ser>
        <c:dLbls>
          <c:dLblPos val="ctr"/>
          <c:showLegendKey val="0"/>
          <c:showVal val="1"/>
          <c:showCatName val="0"/>
          <c:showSerName val="0"/>
          <c:showPercent val="0"/>
          <c:showBubbleSize val="0"/>
        </c:dLbls>
        <c:gapWidth val="150"/>
        <c:overlap val="100"/>
        <c:axId val="1048542464"/>
        <c:axId val="1048543424"/>
      </c:barChart>
      <c:catAx>
        <c:axId val="1048542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543424"/>
        <c:crosses val="autoZero"/>
        <c:auto val="1"/>
        <c:lblAlgn val="ctr"/>
        <c:lblOffset val="100"/>
        <c:noMultiLvlLbl val="0"/>
      </c:catAx>
      <c:valAx>
        <c:axId val="104854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54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Hobart</c:v>
          </c:tx>
          <c:spPr>
            <a:ln w="25400" cap="rnd">
              <a:solidFill>
                <a:schemeClr val="accent1"/>
              </a:solidFill>
              <a:round/>
            </a:ln>
            <a:effectLst/>
          </c:spPr>
          <c:marker>
            <c:symbol val="none"/>
          </c:marker>
          <c:cat>
            <c:numRef>
              <c:f>'Vacancy rate'!$A$19:$A$31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'Vacancy rate'!$B$19:$B$31</c:f>
              <c:numCache>
                <c:formatCode>0.0%</c:formatCode>
                <c:ptCount val="13"/>
                <c:pt idx="0">
                  <c:v>5.0000000000000001E-3</c:v>
                </c:pt>
                <c:pt idx="1">
                  <c:v>6.0000000000000001E-3</c:v>
                </c:pt>
                <c:pt idx="2">
                  <c:v>6.0000000000000001E-3</c:v>
                </c:pt>
                <c:pt idx="3">
                  <c:v>6.0000000000000001E-3</c:v>
                </c:pt>
                <c:pt idx="4">
                  <c:v>6.0000000000000001E-3</c:v>
                </c:pt>
                <c:pt idx="5">
                  <c:v>5.0000000000000001E-3</c:v>
                </c:pt>
                <c:pt idx="6">
                  <c:v>4.0000000000000001E-3</c:v>
                </c:pt>
                <c:pt idx="7">
                  <c:v>4.0000000000000001E-3</c:v>
                </c:pt>
                <c:pt idx="8">
                  <c:v>4.0000000000000001E-3</c:v>
                </c:pt>
                <c:pt idx="9">
                  <c:v>4.0000000000000001E-3</c:v>
                </c:pt>
                <c:pt idx="10">
                  <c:v>4.0000000000000001E-3</c:v>
                </c:pt>
                <c:pt idx="11">
                  <c:v>5.0000000000000001E-3</c:v>
                </c:pt>
                <c:pt idx="12">
                  <c:v>4.0000000000000001E-3</c:v>
                </c:pt>
              </c:numCache>
            </c:numRef>
          </c:val>
          <c:smooth val="0"/>
          <c:extLst>
            <c:ext xmlns:c16="http://schemas.microsoft.com/office/drawing/2014/chart" uri="{C3380CC4-5D6E-409C-BE32-E72D297353CC}">
              <c16:uniqueId val="{00000000-5A37-4046-BE90-2A0FA6BF0830}"/>
            </c:ext>
          </c:extLst>
        </c:ser>
        <c:ser>
          <c:idx val="1"/>
          <c:order val="1"/>
          <c:tx>
            <c:v>Burnie</c:v>
          </c:tx>
          <c:spPr>
            <a:ln w="25400" cap="rnd">
              <a:solidFill>
                <a:schemeClr val="accent2"/>
              </a:solidFill>
              <a:round/>
            </a:ln>
            <a:effectLst/>
          </c:spPr>
          <c:marker>
            <c:symbol val="none"/>
          </c:marker>
          <c:cat>
            <c:numRef>
              <c:f>'Vacancy rate'!$A$19:$A$31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'Vacancy rate'!$C$19:$C$31</c:f>
              <c:numCache>
                <c:formatCode>0.0%</c:formatCode>
                <c:ptCount val="13"/>
                <c:pt idx="0">
                  <c:v>4.0000000000000001E-3</c:v>
                </c:pt>
                <c:pt idx="1">
                  <c:v>5.0000000000000001E-3</c:v>
                </c:pt>
                <c:pt idx="2">
                  <c:v>5.0000000000000001E-3</c:v>
                </c:pt>
                <c:pt idx="3">
                  <c:v>5.0000000000000001E-3</c:v>
                </c:pt>
                <c:pt idx="4">
                  <c:v>5.0000000000000001E-3</c:v>
                </c:pt>
                <c:pt idx="5">
                  <c:v>4.0000000000000001E-3</c:v>
                </c:pt>
                <c:pt idx="6">
                  <c:v>3.0000000000000001E-3</c:v>
                </c:pt>
                <c:pt idx="7">
                  <c:v>3.0000000000000001E-3</c:v>
                </c:pt>
                <c:pt idx="8">
                  <c:v>4.0000000000000001E-3</c:v>
                </c:pt>
                <c:pt idx="9">
                  <c:v>5.0000000000000001E-3</c:v>
                </c:pt>
                <c:pt idx="10">
                  <c:v>5.0000000000000001E-3</c:v>
                </c:pt>
                <c:pt idx="11">
                  <c:v>5.0000000000000001E-3</c:v>
                </c:pt>
                <c:pt idx="12">
                  <c:v>4.0000000000000001E-3</c:v>
                </c:pt>
              </c:numCache>
            </c:numRef>
          </c:val>
          <c:smooth val="0"/>
          <c:extLst>
            <c:ext xmlns:c16="http://schemas.microsoft.com/office/drawing/2014/chart" uri="{C3380CC4-5D6E-409C-BE32-E72D297353CC}">
              <c16:uniqueId val="{00000001-5A37-4046-BE90-2A0FA6BF0830}"/>
            </c:ext>
          </c:extLst>
        </c:ser>
        <c:ser>
          <c:idx val="2"/>
          <c:order val="2"/>
          <c:tx>
            <c:v>Launceston</c:v>
          </c:tx>
          <c:spPr>
            <a:ln w="25400" cap="rnd">
              <a:solidFill>
                <a:schemeClr val="accent3"/>
              </a:solidFill>
              <a:round/>
            </a:ln>
            <a:effectLst/>
          </c:spPr>
          <c:marker>
            <c:symbol val="none"/>
          </c:marker>
          <c:cat>
            <c:numRef>
              <c:f>'Vacancy rate'!$A$19:$A$31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'Vacancy rate'!$D$19:$D$31</c:f>
              <c:numCache>
                <c:formatCode>0.0%</c:formatCode>
                <c:ptCount val="13"/>
                <c:pt idx="0">
                  <c:v>8.0000000000000002E-3</c:v>
                </c:pt>
                <c:pt idx="1">
                  <c:v>9.0000000000000011E-3</c:v>
                </c:pt>
                <c:pt idx="2">
                  <c:v>6.9999999999999993E-3</c:v>
                </c:pt>
                <c:pt idx="3">
                  <c:v>6.9999999999999993E-3</c:v>
                </c:pt>
                <c:pt idx="4">
                  <c:v>6.0000000000000001E-3</c:v>
                </c:pt>
                <c:pt idx="5">
                  <c:v>5.0000000000000001E-3</c:v>
                </c:pt>
                <c:pt idx="6">
                  <c:v>5.0000000000000001E-3</c:v>
                </c:pt>
                <c:pt idx="7">
                  <c:v>5.0000000000000001E-3</c:v>
                </c:pt>
                <c:pt idx="8">
                  <c:v>4.0000000000000001E-3</c:v>
                </c:pt>
                <c:pt idx="9">
                  <c:v>4.0000000000000001E-3</c:v>
                </c:pt>
                <c:pt idx="10">
                  <c:v>6.0000000000000001E-3</c:v>
                </c:pt>
                <c:pt idx="11">
                  <c:v>7.0000000000000001E-3</c:v>
                </c:pt>
                <c:pt idx="12">
                  <c:v>7.0000000000000001E-3</c:v>
                </c:pt>
              </c:numCache>
            </c:numRef>
          </c:val>
          <c:smooth val="0"/>
          <c:extLst>
            <c:ext xmlns:c16="http://schemas.microsoft.com/office/drawing/2014/chart" uri="{C3380CC4-5D6E-409C-BE32-E72D297353CC}">
              <c16:uniqueId val="{00000002-5A37-4046-BE90-2A0FA6BF0830}"/>
            </c:ext>
          </c:extLst>
        </c:ser>
        <c:ser>
          <c:idx val="3"/>
          <c:order val="3"/>
          <c:tx>
            <c:v>Target rate</c:v>
          </c:tx>
          <c:spPr>
            <a:ln w="25400" cap="rnd">
              <a:solidFill>
                <a:srgbClr val="00B050"/>
              </a:solidFill>
              <a:round/>
            </a:ln>
            <a:effectLst/>
          </c:spPr>
          <c:marker>
            <c:symbol val="none"/>
          </c:marker>
          <c:cat>
            <c:numRef>
              <c:f>'Vacancy rate'!$A$19:$A$31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'Vacancy rate'!$E$19:$E$31</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5A37-4046-BE90-2A0FA6BF0830}"/>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Young people 16-17yo: main reason for seeking support from Housing Connect Front Door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'Main presenting reason'!$B$1</c:f>
              <c:strCache>
                <c:ptCount val="1"/>
                <c:pt idx="0">
                  <c:v>Main reason for seeking support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presenting reason'!$A$2:$A$14</c:f>
              <c:strCache>
                <c:ptCount val="13"/>
                <c:pt idx="0">
                  <c:v>Housing crisis (e.g. eviction)</c:v>
                </c:pt>
                <c:pt idx="1">
                  <c:v>Inadequate or inappropriate dwelling conditions</c:v>
                </c:pt>
                <c:pt idx="2">
                  <c:v>Relationship/family breakdown</c:v>
                </c:pt>
                <c:pt idx="3">
                  <c:v>Time out from family/other situation</c:v>
                </c:pt>
                <c:pt idx="4">
                  <c:v>Domestic and family violence</c:v>
                </c:pt>
                <c:pt idx="5">
                  <c:v>Transition from foster care and child safety residential placements</c:v>
                </c:pt>
                <c:pt idx="6">
                  <c:v>Housing affordability stress</c:v>
                </c:pt>
                <c:pt idx="7">
                  <c:v>Previous accommodation ended</c:v>
                </c:pt>
                <c:pt idx="8">
                  <c:v>Other</c:v>
                </c:pt>
                <c:pt idx="9">
                  <c:v>Lack of family and/or community support</c:v>
                </c:pt>
                <c:pt idx="10">
                  <c:v>Mental health issues</c:v>
                </c:pt>
                <c:pt idx="11">
                  <c:v>Transition from other care arrangements</c:v>
                </c:pt>
                <c:pt idx="12">
                  <c:v>Unable to return home due to environmental reasons</c:v>
                </c:pt>
              </c:strCache>
            </c:strRef>
          </c:cat>
          <c:val>
            <c:numRef>
              <c:f>'Main presenting reason'!$B$2:$B$14</c:f>
              <c:numCache>
                <c:formatCode>General</c:formatCode>
                <c:ptCount val="13"/>
                <c:pt idx="0">
                  <c:v>25</c:v>
                </c:pt>
                <c:pt idx="1">
                  <c:v>16</c:v>
                </c:pt>
                <c:pt idx="2">
                  <c:v>13</c:v>
                </c:pt>
                <c:pt idx="3">
                  <c:v>7</c:v>
                </c:pt>
                <c:pt idx="4">
                  <c:v>6</c:v>
                </c:pt>
                <c:pt idx="5">
                  <c:v>5</c:v>
                </c:pt>
                <c:pt idx="6">
                  <c:v>4</c:v>
                </c:pt>
                <c:pt idx="7">
                  <c:v>4</c:v>
                </c:pt>
                <c:pt idx="8">
                  <c:v>4</c:v>
                </c:pt>
                <c:pt idx="9">
                  <c:v>3</c:v>
                </c:pt>
                <c:pt idx="10">
                  <c:v>1</c:v>
                </c:pt>
                <c:pt idx="11">
                  <c:v>1</c:v>
                </c:pt>
                <c:pt idx="12">
                  <c:v>1</c:v>
                </c:pt>
              </c:numCache>
            </c:numRef>
          </c:val>
          <c:extLst>
            <c:ext xmlns:c16="http://schemas.microsoft.com/office/drawing/2014/chart" uri="{C3380CC4-5D6E-409C-BE32-E72D297353CC}">
              <c16:uniqueId val="{00000000-9171-4948-BF25-D1269A8F3047}"/>
            </c:ext>
          </c:extLst>
        </c:ser>
        <c:dLbls>
          <c:showLegendKey val="0"/>
          <c:showVal val="0"/>
          <c:showCatName val="0"/>
          <c:showSerName val="0"/>
          <c:showPercent val="0"/>
          <c:showBubbleSize val="0"/>
        </c:dLbls>
        <c:gapWidth val="115"/>
        <c:overlap val="-20"/>
        <c:axId val="1214858351"/>
        <c:axId val="485960639"/>
      </c:barChart>
      <c:catAx>
        <c:axId val="1214858351"/>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60639"/>
        <c:crosses val="autoZero"/>
        <c:auto val="1"/>
        <c:lblAlgn val="ctr"/>
        <c:lblOffset val="100"/>
        <c:noMultiLvlLbl val="0"/>
      </c:catAx>
      <c:valAx>
        <c:axId val="485960639"/>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858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Housing</a:t>
            </a:r>
            <a:r>
              <a:rPr lang="en-US" baseline="0"/>
              <a:t> Connect Front Door clients aged 16-17 in the March quarter 2026</a:t>
            </a:r>
            <a:r>
              <a:rPr lang="en-US"/>
              <a:t> per 10,000 population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2"/>
          <c:tx>
            <c:strRef>
              <c:f>'Figure 3'!$D$10</c:f>
              <c:strCache>
                <c:ptCount val="1"/>
                <c:pt idx="0">
                  <c:v>Young people 16-17yo per 10,000 population</c:v>
                </c:pt>
              </c:strCache>
            </c:strRef>
          </c:tx>
          <c:spPr>
            <a:solidFill>
              <a:schemeClr val="accent3"/>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3'!$A$11:$A$13</c:f>
              <c:strCache>
                <c:ptCount val="3"/>
                <c:pt idx="0">
                  <c:v>North West</c:v>
                </c:pt>
                <c:pt idx="1">
                  <c:v>South</c:v>
                </c:pt>
                <c:pt idx="2">
                  <c:v>North</c:v>
                </c:pt>
              </c:strCache>
            </c:strRef>
          </c:cat>
          <c:val>
            <c:numRef>
              <c:f>'Figure 3'!$D$11:$D$13</c:f>
              <c:numCache>
                <c:formatCode>General</c:formatCode>
                <c:ptCount val="3"/>
                <c:pt idx="0">
                  <c:v>1.7486739222756078</c:v>
                </c:pt>
                <c:pt idx="1">
                  <c:v>1.7012646066909738</c:v>
                </c:pt>
                <c:pt idx="2">
                  <c:v>1.1509466536226047</c:v>
                </c:pt>
              </c:numCache>
            </c:numRef>
          </c:val>
          <c:extLst>
            <c:ext xmlns:c16="http://schemas.microsoft.com/office/drawing/2014/chart" uri="{C3380CC4-5D6E-409C-BE32-E72D297353CC}">
              <c16:uniqueId val="{00000000-E8A8-4E3A-A26B-16CE7BF1FF35}"/>
            </c:ext>
          </c:extLst>
        </c:ser>
        <c:dLbls>
          <c:showLegendKey val="0"/>
          <c:showVal val="0"/>
          <c:showCatName val="0"/>
          <c:showSerName val="0"/>
          <c:showPercent val="0"/>
          <c:showBubbleSize val="0"/>
        </c:dLbls>
        <c:gapWidth val="219"/>
        <c:overlap val="-27"/>
        <c:axId val="768067696"/>
        <c:axId val="768063856"/>
        <c:extLst>
          <c:ext xmlns:c15="http://schemas.microsoft.com/office/drawing/2012/chart" uri="{02D57815-91ED-43cb-92C2-25804820EDAC}">
            <c15:filteredBarSeries>
              <c15:ser>
                <c:idx val="0"/>
                <c:order val="0"/>
                <c:tx>
                  <c:strRef>
                    <c:extLst>
                      <c:ext uri="{02D57815-91ED-43cb-92C2-25804820EDAC}">
                        <c15:formulaRef>
                          <c15:sqref>'Figure 3'!$B$10</c15:sqref>
                        </c15:formulaRef>
                      </c:ext>
                    </c:extLst>
                    <c:strCache>
                      <c:ptCount val="1"/>
                      <c:pt idx="0">
                        <c:v>YP</c:v>
                      </c:pt>
                    </c:strCache>
                  </c:strRef>
                </c:tx>
                <c:spPr>
                  <a:solidFill>
                    <a:schemeClr val="accent1"/>
                  </a:solidFill>
                  <a:ln>
                    <a:noFill/>
                  </a:ln>
                  <a:effectLst/>
                </c:spPr>
                <c:invertIfNegative val="0"/>
                <c:cat>
                  <c:strRef>
                    <c:extLst>
                      <c:ext uri="{02D57815-91ED-43cb-92C2-25804820EDAC}">
                        <c15:formulaRef>
                          <c15:sqref>'Figure 3'!$A$11:$A$13</c15:sqref>
                        </c15:formulaRef>
                      </c:ext>
                    </c:extLst>
                    <c:strCache>
                      <c:ptCount val="3"/>
                      <c:pt idx="0">
                        <c:v>North West</c:v>
                      </c:pt>
                      <c:pt idx="1">
                        <c:v>South</c:v>
                      </c:pt>
                      <c:pt idx="2">
                        <c:v>North</c:v>
                      </c:pt>
                    </c:strCache>
                  </c:strRef>
                </c:cat>
                <c:val>
                  <c:numRef>
                    <c:extLst>
                      <c:ext uri="{02D57815-91ED-43cb-92C2-25804820EDAC}">
                        <c15:formulaRef>
                          <c15:sqref>'Figure 3'!$B$11:$B$13</c15:sqref>
                        </c15:formulaRef>
                      </c:ext>
                    </c:extLst>
                    <c:numCache>
                      <c:formatCode>General</c:formatCode>
                      <c:ptCount val="3"/>
                      <c:pt idx="0">
                        <c:v>21</c:v>
                      </c:pt>
                      <c:pt idx="1">
                        <c:v>51</c:v>
                      </c:pt>
                      <c:pt idx="2">
                        <c:v>18</c:v>
                      </c:pt>
                    </c:numCache>
                  </c:numRef>
                </c:val>
                <c:extLst>
                  <c:ext xmlns:c16="http://schemas.microsoft.com/office/drawing/2014/chart" uri="{C3380CC4-5D6E-409C-BE32-E72D297353CC}">
                    <c16:uniqueId val="{00000001-E8A8-4E3A-A26B-16CE7BF1FF3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'Figure 3'!$C$10</c15:sqref>
                        </c15:formulaRef>
                      </c:ext>
                    </c:extLst>
                    <c:strCache>
                      <c:ptCount val="1"/>
                      <c:pt idx="0">
                        <c:v>Population 2025</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'Figure 3'!$A$11:$A$13</c15:sqref>
                        </c15:formulaRef>
                      </c:ext>
                    </c:extLst>
                    <c:strCache>
                      <c:ptCount val="3"/>
                      <c:pt idx="0">
                        <c:v>North West</c:v>
                      </c:pt>
                      <c:pt idx="1">
                        <c:v>South</c:v>
                      </c:pt>
                      <c:pt idx="2">
                        <c:v>North</c:v>
                      </c:pt>
                    </c:strCache>
                  </c:strRef>
                </c:cat>
                <c:val>
                  <c:numRef>
                    <c:extLst xmlns:c15="http://schemas.microsoft.com/office/drawing/2012/chart">
                      <c:ext xmlns:c15="http://schemas.microsoft.com/office/drawing/2012/chart" uri="{02D57815-91ED-43cb-92C2-25804820EDAC}">
                        <c15:formulaRef>
                          <c15:sqref>'Figure 3'!$C$11:$C$13</c15:sqref>
                        </c15:formulaRef>
                      </c:ext>
                    </c:extLst>
                    <c:numCache>
                      <c:formatCode>General</c:formatCode>
                      <c:ptCount val="3"/>
                      <c:pt idx="0">
                        <c:v>120091</c:v>
                      </c:pt>
                      <c:pt idx="1">
                        <c:v>299777</c:v>
                      </c:pt>
                      <c:pt idx="2">
                        <c:v>156393</c:v>
                      </c:pt>
                    </c:numCache>
                  </c:numRef>
                </c:val>
                <c:extLst xmlns:c15="http://schemas.microsoft.com/office/drawing/2012/chart">
                  <c:ext xmlns:c16="http://schemas.microsoft.com/office/drawing/2014/chart" uri="{C3380CC4-5D6E-409C-BE32-E72D297353CC}">
                    <c16:uniqueId val="{00000002-E8A8-4E3A-A26B-16CE7BF1FF35}"/>
                  </c:ext>
                </c:extLst>
              </c15:ser>
            </c15:filteredBarSeries>
          </c:ext>
        </c:extLst>
      </c:barChart>
      <c:catAx>
        <c:axId val="76806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063856"/>
        <c:crosses val="autoZero"/>
        <c:auto val="1"/>
        <c:lblAlgn val="ctr"/>
        <c:lblOffset val="100"/>
        <c:noMultiLvlLbl val="0"/>
      </c:catAx>
      <c:valAx>
        <c:axId val="76806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06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BCE299F698E04EA598F86E15244ECC" ma:contentTypeVersion="3" ma:contentTypeDescription="Create a new document." ma:contentTypeScope="" ma:versionID="7e682e0b0935c240e2432935cc28ee66">
  <xsd:schema xmlns:xsd="http://www.w3.org/2001/XMLSchema" xmlns:xs="http://www.w3.org/2001/XMLSchema" xmlns:p="http://schemas.microsoft.com/office/2006/metadata/properties" xmlns:ns2="92e40a98-5010-4b0b-b55d-764948bbdfad" targetNamespace="http://schemas.microsoft.com/office/2006/metadata/properties" ma:root="true" ma:fieldsID="64d2ccfb2613354509397441d930184d" ns2:_="">
    <xsd:import namespace="92e40a98-5010-4b0b-b55d-764948bbdf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40a98-5010-4b0b-b55d-764948bbd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1BBB5-3163-425B-9B29-D3CDE937FB42}">
  <ds:schemaRefs>
    <ds:schemaRef ds:uri="http://schemas.microsoft.com/sharepoint/v3/contenttype/forms"/>
  </ds:schemaRefs>
</ds:datastoreItem>
</file>

<file path=customXml/itemProps2.xml><?xml version="1.0" encoding="utf-8"?>
<ds:datastoreItem xmlns:ds="http://schemas.openxmlformats.org/officeDocument/2006/customXml" ds:itemID="{33B5E269-B61B-473B-AEEB-A5E8BC9C1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40a98-5010-4b0b-b55d-764948bb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B133F-F1A5-4E49-81DB-B9BF18329660}">
  <ds:schemaRefs>
    <ds:schemaRef ds:uri="http://schemas.openxmlformats.org/officeDocument/2006/bibliography"/>
  </ds:schemaRefs>
</ds:datastoreItem>
</file>

<file path=customXml/itemProps4.xml><?xml version="1.0" encoding="utf-8"?>
<ds:datastoreItem xmlns:ds="http://schemas.openxmlformats.org/officeDocument/2006/customXml" ds:itemID="{FED2C664-E4DB-4882-9245-31CCC90911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3241</Words>
  <Characters>18478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3</cp:revision>
  <cp:lastPrinted>2026-06-18T04:44:00Z</cp:lastPrinted>
  <dcterms:created xsi:type="dcterms:W3CDTF">2026-07-23T00:34:00Z</dcterms:created>
  <dcterms:modified xsi:type="dcterms:W3CDTF">2026-07-23T01:04:00Z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0x010100B5BCE299F698E04EA598F86E15244ECC</vt:lpwstr>
  </property>
</Properties>
</file>